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84573" w14:textId="77777777" w:rsidR="006E7140" w:rsidRPr="00D93CE5" w:rsidRDefault="006E7140" w:rsidP="003D0A52">
      <w:pPr>
        <w:pStyle w:val="ae"/>
      </w:pPr>
      <w:r w:rsidRPr="00D93CE5">
        <w:rPr>
          <w:rFonts w:hint="cs"/>
          <w:rtl/>
        </w:rPr>
        <w:t>ב"ה</w:t>
      </w:r>
    </w:p>
    <w:p w14:paraId="573D34B4" w14:textId="6A73E3E0" w:rsidR="006E7140" w:rsidRPr="005D5CA3" w:rsidRDefault="006E7140" w:rsidP="003D0A52">
      <w:pPr>
        <w:pStyle w:val="aff9"/>
        <w:rPr>
          <w:sz w:val="28"/>
          <w:szCs w:val="28"/>
          <w:rtl/>
        </w:rPr>
      </w:pPr>
      <w:r w:rsidRPr="005D5CA3">
        <w:rPr>
          <w:rFonts w:hint="cs"/>
          <w:sz w:val="28"/>
          <w:szCs w:val="28"/>
          <w:rtl/>
        </w:rPr>
        <w:t>תיק</w:t>
      </w:r>
      <w:r w:rsidR="00467D95" w:rsidRPr="005D5CA3">
        <w:rPr>
          <w:rFonts w:hint="cs"/>
          <w:sz w:val="28"/>
          <w:szCs w:val="28"/>
          <w:rtl/>
        </w:rPr>
        <w:t xml:space="preserve"> </w:t>
      </w:r>
      <w:r w:rsidR="005D5CA3" w:rsidRPr="005D5CA3">
        <w:rPr>
          <w:rFonts w:hint="cs"/>
          <w:sz w:val="28"/>
          <w:szCs w:val="28"/>
          <w:rtl/>
        </w:rPr>
        <w:t>1531796/2</w:t>
      </w:r>
    </w:p>
    <w:p w14:paraId="621BB4C1" w14:textId="30157622" w:rsidR="006E7140" w:rsidRPr="003D0A52" w:rsidRDefault="006E7140" w:rsidP="003D0A52">
      <w:pPr>
        <w:pStyle w:val="afff3"/>
        <w:rPr>
          <w:rtl/>
        </w:rPr>
      </w:pPr>
      <w:r w:rsidRPr="003D0A52">
        <w:rPr>
          <w:rFonts w:hint="cs"/>
          <w:rtl/>
        </w:rPr>
        <w:t xml:space="preserve">בבית הדין הרבני </w:t>
      </w:r>
      <w:r w:rsidR="005D5CA3">
        <w:rPr>
          <w:rFonts w:hint="cs"/>
          <w:rtl/>
        </w:rPr>
        <w:t>הגדול ירושלים</w:t>
      </w:r>
    </w:p>
    <w:p w14:paraId="5BF2485F" w14:textId="77777777" w:rsidR="006E7140" w:rsidRPr="00D93CE5" w:rsidRDefault="006E7140" w:rsidP="006E7140">
      <w:pPr>
        <w:pStyle w:val="afff4"/>
        <w:rPr>
          <w:rtl/>
        </w:rPr>
      </w:pPr>
      <w:r w:rsidRPr="00D93CE5">
        <w:rPr>
          <w:rFonts w:hint="cs"/>
          <w:rtl/>
        </w:rPr>
        <w:t>לפני כבוד הדיינים:</w:t>
      </w:r>
    </w:p>
    <w:p w14:paraId="3D6BBCA7" w14:textId="48456444" w:rsidR="005D5CA3" w:rsidRPr="000155CC" w:rsidRDefault="00000000" w:rsidP="005D5CA3">
      <w:pPr>
        <w:pStyle w:val="aff1"/>
        <w:rPr>
          <w:rtl/>
        </w:rPr>
      </w:pPr>
      <w:sdt>
        <w:sdtPr>
          <w:rPr>
            <w:rFonts w:hint="cs"/>
            <w:b w:val="0"/>
            <w:bCs w:val="0"/>
            <w:sz w:val="28"/>
            <w:rtl/>
          </w:rPr>
          <w:alias w:val="Judges"/>
          <w:tag w:val="Judges"/>
          <w:id w:val="1720238963"/>
          <w:placeholder>
            <w:docPart w:val="5B2581D756EA40C5BA353EA7EA258BA2"/>
          </w:placeholder>
          <w:temporary/>
        </w:sdtPr>
        <w:sdtContent>
          <w:r w:rsidR="005D5CA3" w:rsidRPr="00BE2E0A">
            <w:rPr>
              <w:rFonts w:hint="cs"/>
              <w:sz w:val="28"/>
              <w:rtl/>
            </w:rPr>
            <w:t xml:space="preserve">הרב צבי בן יעקב, הרב דוד </w:t>
          </w:r>
          <w:proofErr w:type="spellStart"/>
          <w:r w:rsidR="005D5CA3" w:rsidRPr="00BE2E0A">
            <w:rPr>
              <w:rFonts w:hint="cs"/>
              <w:sz w:val="28"/>
              <w:rtl/>
            </w:rPr>
            <w:t>בירדוגו</w:t>
          </w:r>
          <w:proofErr w:type="spellEnd"/>
          <w:r w:rsidR="005D5CA3" w:rsidRPr="00BE2E0A">
            <w:rPr>
              <w:rFonts w:hint="cs"/>
              <w:sz w:val="28"/>
              <w:rtl/>
            </w:rPr>
            <w:t xml:space="preserve">, הרב משה </w:t>
          </w:r>
          <w:proofErr w:type="spellStart"/>
          <w:r w:rsidR="005D5CA3" w:rsidRPr="00BE2E0A">
            <w:rPr>
              <w:rFonts w:hint="cs"/>
              <w:sz w:val="28"/>
              <w:rtl/>
            </w:rPr>
            <w:t>אמסלם</w:t>
          </w:r>
          <w:proofErr w:type="spellEnd"/>
        </w:sdtContent>
      </w:sdt>
    </w:p>
    <w:p w14:paraId="5F7E895B" w14:textId="693136C5" w:rsidR="004D4898" w:rsidRPr="004D4898" w:rsidRDefault="004D4898" w:rsidP="004D4898">
      <w:pPr>
        <w:pStyle w:val="aff1"/>
        <w:rPr>
          <w:rtl/>
        </w:rPr>
      </w:pPr>
    </w:p>
    <w:p w14:paraId="44A89110" w14:textId="4D5A5DC1" w:rsidR="006E7140" w:rsidRPr="00467D95" w:rsidRDefault="004D4898" w:rsidP="003D0A52">
      <w:pPr>
        <w:pStyle w:val="affb"/>
        <w:rPr>
          <w:sz w:val="28"/>
          <w:szCs w:val="28"/>
          <w:rtl/>
        </w:rPr>
      </w:pPr>
      <w:r>
        <w:rPr>
          <w:rFonts w:hint="cs"/>
          <w:rtl/>
        </w:rPr>
        <w:t>המערערת</w:t>
      </w:r>
      <w:r w:rsidR="006E7140" w:rsidRPr="003D0A52">
        <w:rPr>
          <w:rFonts w:hint="cs"/>
          <w:rtl/>
        </w:rPr>
        <w:t>:</w:t>
      </w:r>
      <w:r w:rsidR="006E7140" w:rsidRPr="003D0A52">
        <w:rPr>
          <w:rtl/>
        </w:rPr>
        <w:tab/>
      </w:r>
      <w:r w:rsidR="006E7140" w:rsidRPr="003D0A52">
        <w:rPr>
          <w:rFonts w:hint="cs"/>
          <w:rtl/>
        </w:rPr>
        <w:t>פלוני</w:t>
      </w:r>
      <w:r>
        <w:rPr>
          <w:rFonts w:hint="cs"/>
          <w:rtl/>
        </w:rPr>
        <w:t>ת</w:t>
      </w:r>
      <w:r w:rsidR="006E7140" w:rsidRPr="003D0A52">
        <w:rPr>
          <w:rtl/>
        </w:rPr>
        <w:tab/>
      </w:r>
      <w:r w:rsidR="00463BFC" w:rsidRPr="00680C45">
        <w:rPr>
          <w:rFonts w:hint="cs"/>
          <w:sz w:val="28"/>
          <w:szCs w:val="28"/>
          <w:rtl/>
        </w:rPr>
        <w:t xml:space="preserve"> </w:t>
      </w:r>
      <w:r w:rsidR="00463BFC" w:rsidRPr="007E581E">
        <w:rPr>
          <w:rFonts w:hint="cs"/>
          <w:sz w:val="24"/>
          <w:szCs w:val="24"/>
          <w:rtl/>
        </w:rPr>
        <w:t>(</w:t>
      </w:r>
      <w:r w:rsidR="00467D95" w:rsidRPr="007E581E">
        <w:rPr>
          <w:rFonts w:hint="cs"/>
          <w:sz w:val="24"/>
          <w:szCs w:val="24"/>
          <w:rtl/>
        </w:rPr>
        <w:t>ע"י ב"כ עו"ד</w:t>
      </w:r>
      <w:r w:rsidR="005D5CA3" w:rsidRPr="007E581E">
        <w:rPr>
          <w:rFonts w:hint="cs"/>
          <w:sz w:val="24"/>
          <w:szCs w:val="24"/>
          <w:rtl/>
        </w:rPr>
        <w:t xml:space="preserve"> שי שמחיוב</w:t>
      </w:r>
      <w:r w:rsidR="00463BFC" w:rsidRPr="007E581E">
        <w:rPr>
          <w:rFonts w:hint="cs"/>
          <w:sz w:val="24"/>
          <w:szCs w:val="24"/>
          <w:rtl/>
        </w:rPr>
        <w:t>)</w:t>
      </w:r>
    </w:p>
    <w:p w14:paraId="11D1DFC4" w14:textId="77777777" w:rsidR="006E7140" w:rsidRPr="00D93CE5" w:rsidRDefault="006E7140" w:rsidP="003D0A52">
      <w:pPr>
        <w:pStyle w:val="affb"/>
        <w:rPr>
          <w:rtl/>
        </w:rPr>
      </w:pPr>
      <w:r w:rsidRPr="00D93CE5">
        <w:rPr>
          <w:rtl/>
        </w:rPr>
        <w:t>נגד</w:t>
      </w:r>
    </w:p>
    <w:p w14:paraId="3B822A96" w14:textId="1ECBA6A2" w:rsidR="006E7140" w:rsidRDefault="006E7140" w:rsidP="003D0A52">
      <w:pPr>
        <w:pStyle w:val="affb"/>
        <w:rPr>
          <w:rtl/>
        </w:rPr>
      </w:pPr>
      <w:r>
        <w:rPr>
          <w:rFonts w:hint="cs"/>
          <w:rtl/>
        </w:rPr>
        <w:t>ה</w:t>
      </w:r>
      <w:r w:rsidR="004D4898">
        <w:rPr>
          <w:rFonts w:hint="cs"/>
          <w:rtl/>
        </w:rPr>
        <w:t>משיב</w:t>
      </w:r>
      <w:r>
        <w:rPr>
          <w:rFonts w:hint="cs"/>
          <w:rtl/>
        </w:rPr>
        <w:t>:</w:t>
      </w:r>
      <w:r>
        <w:rPr>
          <w:rtl/>
        </w:rPr>
        <w:tab/>
      </w:r>
      <w:r>
        <w:rPr>
          <w:rFonts w:hint="cs"/>
          <w:rtl/>
        </w:rPr>
        <w:t>פלוני</w:t>
      </w:r>
      <w:r w:rsidR="00463BFC">
        <w:rPr>
          <w:rFonts w:hint="cs"/>
          <w:rtl/>
        </w:rPr>
        <w:t xml:space="preserve"> </w:t>
      </w:r>
      <w:r w:rsidR="007E581E">
        <w:rPr>
          <w:sz w:val="28"/>
          <w:szCs w:val="28"/>
          <w:rtl/>
        </w:rPr>
        <w:tab/>
      </w:r>
      <w:r w:rsidR="00467D95" w:rsidRPr="007E581E">
        <w:rPr>
          <w:rFonts w:hint="cs"/>
          <w:sz w:val="24"/>
          <w:szCs w:val="24"/>
          <w:rtl/>
        </w:rPr>
        <w:t xml:space="preserve">(ע"י ב"כ </w:t>
      </w:r>
      <w:proofErr w:type="spellStart"/>
      <w:r w:rsidR="005D5CA3" w:rsidRPr="007E581E">
        <w:rPr>
          <w:rFonts w:hint="cs"/>
          <w:sz w:val="24"/>
          <w:szCs w:val="24"/>
          <w:rtl/>
        </w:rPr>
        <w:t>טו"ר</w:t>
      </w:r>
      <w:proofErr w:type="spellEnd"/>
      <w:r w:rsidR="005D5CA3" w:rsidRPr="007E581E">
        <w:rPr>
          <w:rFonts w:hint="cs"/>
          <w:sz w:val="24"/>
          <w:szCs w:val="24"/>
          <w:rtl/>
        </w:rPr>
        <w:t xml:space="preserve"> אביחיל צדוק</w:t>
      </w:r>
      <w:r w:rsidR="00467D95" w:rsidRPr="007E581E">
        <w:rPr>
          <w:rFonts w:hint="cs"/>
          <w:sz w:val="24"/>
          <w:szCs w:val="24"/>
          <w:rtl/>
        </w:rPr>
        <w:t>)</w:t>
      </w:r>
    </w:p>
    <w:p w14:paraId="0BA881CE" w14:textId="505EE6F3" w:rsidR="006E7140" w:rsidRPr="003D0A52" w:rsidRDefault="006E7140" w:rsidP="003D0A52">
      <w:pPr>
        <w:pStyle w:val="affd"/>
        <w:rPr>
          <w:rtl/>
        </w:rPr>
      </w:pPr>
      <w:r w:rsidRPr="003D0A52">
        <w:rPr>
          <w:rtl/>
        </w:rPr>
        <w:t>הנדון:</w:t>
      </w:r>
      <w:r w:rsidRPr="003D0A52">
        <w:rPr>
          <w:rFonts w:hint="cs"/>
          <w:rtl/>
        </w:rPr>
        <w:t xml:space="preserve"> </w:t>
      </w:r>
      <w:r w:rsidR="005D5CA3">
        <w:rPr>
          <w:rFonts w:hint="cs"/>
          <w:rtl/>
        </w:rPr>
        <w:t xml:space="preserve">הסכם </w:t>
      </w:r>
      <w:r w:rsidR="00581FFA">
        <w:rPr>
          <w:rFonts w:hint="cs"/>
          <w:rtl/>
        </w:rPr>
        <w:t>פנימי להחרגת נכס ספציפי שלא אושר ב</w:t>
      </w:r>
      <w:r w:rsidR="005D5CA3">
        <w:rPr>
          <w:rFonts w:hint="cs"/>
          <w:rtl/>
        </w:rPr>
        <w:t>ערכאה שיפוטית</w:t>
      </w:r>
    </w:p>
    <w:p w14:paraId="21BCFC01" w14:textId="77777777" w:rsidR="005D5CA3" w:rsidRDefault="005D5CA3" w:rsidP="005D5CA3">
      <w:pPr>
        <w:pStyle w:val="afb"/>
        <w:rPr>
          <w:rtl/>
        </w:rPr>
      </w:pPr>
      <w:r>
        <w:rPr>
          <w:rFonts w:hint="cs"/>
          <w:rtl/>
        </w:rPr>
        <w:t>פסק דין</w:t>
      </w:r>
    </w:p>
    <w:p w14:paraId="6A1C7C77" w14:textId="43D44A2E" w:rsidR="005D5CA3" w:rsidRDefault="005D5CA3" w:rsidP="005D5CA3">
      <w:pPr>
        <w:pStyle w:val="ae"/>
        <w:rPr>
          <w:rtl/>
        </w:rPr>
      </w:pPr>
      <w:r>
        <w:rPr>
          <w:rFonts w:hint="cs"/>
          <w:rtl/>
        </w:rPr>
        <w:t xml:space="preserve">בפנינו בקשת רשות ערעור על החלטות כבוד ביה"ד הרבני האזורי פ"ת, מיום 11.2.2025 ומיום 24.11.2025, לפיהן תמורת דירת הצדדים ברח' </w:t>
      </w:r>
      <w:r w:rsidR="00B27F69">
        <w:rPr>
          <w:rFonts w:hint="cs"/>
          <w:rtl/>
        </w:rPr>
        <w:t>א'</w:t>
      </w:r>
      <w:r>
        <w:rPr>
          <w:rFonts w:hint="cs"/>
          <w:rtl/>
        </w:rPr>
        <w:t>, תחולק - 18% למערערת ו 82% למשיב.</w:t>
      </w:r>
    </w:p>
    <w:p w14:paraId="0F766E0E" w14:textId="3A4E24F9" w:rsidR="00B27F69" w:rsidRPr="00B27F69" w:rsidRDefault="00B27F69" w:rsidP="00B27F69">
      <w:pPr>
        <w:pStyle w:val="-0"/>
        <w:rPr>
          <w:rtl/>
          <w:lang w:eastAsia="he-IL"/>
        </w:rPr>
      </w:pPr>
      <w:r>
        <w:rPr>
          <w:rFonts w:hint="cs"/>
          <w:rtl/>
          <w:lang w:eastAsia="he-IL"/>
        </w:rPr>
        <w:t>רקע והליכים קודמים</w:t>
      </w:r>
    </w:p>
    <w:p w14:paraId="61DFD3B8" w14:textId="77777777" w:rsidR="005D5CA3" w:rsidRDefault="005D5CA3" w:rsidP="00B27F69">
      <w:pPr>
        <w:pStyle w:val="ae"/>
        <w:rPr>
          <w:rtl/>
        </w:rPr>
      </w:pPr>
      <w:r>
        <w:rPr>
          <w:rFonts w:hint="cs"/>
          <w:rtl/>
        </w:rPr>
        <w:t xml:space="preserve">הצדדים נישאו כדמו"י בתאריך 14.2.2006 ולהם בת </w:t>
      </w:r>
      <w:r w:rsidRPr="00680C45">
        <w:rPr>
          <w:rFonts w:hint="cs"/>
          <w:sz w:val="24"/>
          <w:szCs w:val="24"/>
          <w:rtl/>
        </w:rPr>
        <w:t>(בגירה)</w:t>
      </w:r>
      <w:r>
        <w:rPr>
          <w:rFonts w:hint="cs"/>
          <w:rtl/>
        </w:rPr>
        <w:t xml:space="preserve"> ובן </w:t>
      </w:r>
      <w:r w:rsidRPr="00680C45">
        <w:rPr>
          <w:rFonts w:hint="cs"/>
          <w:sz w:val="24"/>
          <w:szCs w:val="24"/>
          <w:rtl/>
        </w:rPr>
        <w:t>(כבן 14)</w:t>
      </w:r>
      <w:r>
        <w:rPr>
          <w:rFonts w:hint="cs"/>
          <w:rtl/>
        </w:rPr>
        <w:t xml:space="preserve">. </w:t>
      </w:r>
    </w:p>
    <w:p w14:paraId="62CA28A9" w14:textId="72C7B4FD" w:rsidR="005D5CA3" w:rsidRDefault="005D5CA3" w:rsidP="005D5CA3">
      <w:pPr>
        <w:pStyle w:val="af"/>
        <w:rPr>
          <w:rtl/>
          <w:lang w:eastAsia="he-IL"/>
        </w:rPr>
      </w:pPr>
      <w:r>
        <w:rPr>
          <w:rFonts w:hint="cs"/>
          <w:rtl/>
          <w:lang w:eastAsia="he-IL"/>
        </w:rPr>
        <w:t xml:space="preserve">בטרם נישאו, בתאריך 6.1.2006, הצדדים חתמו על הסכם ממון, שאושר ע"י </w:t>
      </w:r>
      <w:r w:rsidR="00F33FF5">
        <w:rPr>
          <w:rFonts w:hint="cs"/>
          <w:rtl/>
          <w:lang w:eastAsia="he-IL"/>
        </w:rPr>
        <w:t xml:space="preserve">עו"ד </w:t>
      </w:r>
      <w:r>
        <w:rPr>
          <w:rFonts w:hint="cs"/>
          <w:rtl/>
          <w:lang w:eastAsia="he-IL"/>
        </w:rPr>
        <w:t>נוטריון</w:t>
      </w:r>
      <w:r w:rsidR="00F33FF5">
        <w:rPr>
          <w:rFonts w:hint="cs"/>
          <w:rtl/>
          <w:lang w:eastAsia="he-IL"/>
        </w:rPr>
        <w:t>.</w:t>
      </w:r>
    </w:p>
    <w:p w14:paraId="1391508A" w14:textId="727742CC" w:rsidR="005D5CA3" w:rsidRDefault="005D5CA3" w:rsidP="005D5CA3">
      <w:pPr>
        <w:pStyle w:val="af"/>
        <w:rPr>
          <w:rtl/>
          <w:lang w:eastAsia="he-IL"/>
        </w:rPr>
      </w:pPr>
      <w:r>
        <w:rPr>
          <w:rFonts w:hint="cs"/>
          <w:rtl/>
          <w:lang w:eastAsia="he-IL"/>
        </w:rPr>
        <w:t>בסעיף 4 להסכם הממון</w:t>
      </w:r>
      <w:r w:rsidR="007E581E">
        <w:rPr>
          <w:rFonts w:hint="cs"/>
          <w:rtl/>
          <w:lang w:eastAsia="he-IL"/>
        </w:rPr>
        <w:t>,</w:t>
      </w:r>
      <w:r>
        <w:rPr>
          <w:rFonts w:hint="cs"/>
          <w:rtl/>
          <w:lang w:eastAsia="he-IL"/>
        </w:rPr>
        <w:t xml:space="preserve"> תחת הכותרת נכסים ששווים לא יאוזן</w:t>
      </w:r>
      <w:r w:rsidR="007E581E">
        <w:rPr>
          <w:rFonts w:hint="cs"/>
          <w:rtl/>
          <w:lang w:eastAsia="he-IL"/>
        </w:rPr>
        <w:t>,</w:t>
      </w:r>
      <w:r>
        <w:rPr>
          <w:rFonts w:hint="cs"/>
          <w:rtl/>
          <w:lang w:eastAsia="he-IL"/>
        </w:rPr>
        <w:t xml:space="preserve"> נכתב כי דירה שהייתה בבעלותו של הבעל לפני הנישואין </w:t>
      </w:r>
      <w:r w:rsidRPr="00680C45">
        <w:rPr>
          <w:rFonts w:hint="cs"/>
          <w:sz w:val="24"/>
          <w:szCs w:val="24"/>
          <w:rtl/>
          <w:lang w:eastAsia="he-IL"/>
        </w:rPr>
        <w:t>(רחוב ק')</w:t>
      </w:r>
      <w:r>
        <w:rPr>
          <w:rFonts w:hint="cs"/>
          <w:rtl/>
          <w:lang w:eastAsia="he-IL"/>
        </w:rPr>
        <w:t xml:space="preserve"> לא תאוזן בין הצדדים במקרה של פירוד. כמו כן כספים הנמצאים בחשבון בנק שעל שמו של הבעל וכן כספים שנמצאים בחשבון בנק שעל שמה של האישה הוחרגו ממסת הנכסים לאיזון.</w:t>
      </w:r>
    </w:p>
    <w:p w14:paraId="40D7DD41" w14:textId="3E248F23" w:rsidR="005D5CA3" w:rsidRDefault="005D5CA3" w:rsidP="005D5CA3">
      <w:pPr>
        <w:pStyle w:val="af"/>
        <w:rPr>
          <w:rtl/>
          <w:lang w:eastAsia="he-IL"/>
        </w:rPr>
      </w:pPr>
      <w:r>
        <w:rPr>
          <w:rFonts w:hint="cs"/>
          <w:rtl/>
          <w:lang w:eastAsia="he-IL"/>
        </w:rPr>
        <w:t xml:space="preserve">בתאריך 9.8.2009 נרכשה דירת הצדדים ברחוב </w:t>
      </w:r>
      <w:r w:rsidR="003944AC">
        <w:rPr>
          <w:rFonts w:hint="cs"/>
          <w:rtl/>
          <w:lang w:eastAsia="he-IL"/>
        </w:rPr>
        <w:t>[</w:t>
      </w:r>
      <w:r>
        <w:rPr>
          <w:rFonts w:hint="cs"/>
          <w:rtl/>
          <w:lang w:eastAsia="he-IL"/>
        </w:rPr>
        <w:t>א'</w:t>
      </w:r>
      <w:r w:rsidR="003944AC">
        <w:rPr>
          <w:rFonts w:hint="cs"/>
          <w:rtl/>
          <w:lang w:eastAsia="he-IL"/>
        </w:rPr>
        <w:t>]</w:t>
      </w:r>
      <w:r>
        <w:rPr>
          <w:rFonts w:hint="cs"/>
          <w:rtl/>
          <w:lang w:eastAsia="he-IL"/>
        </w:rPr>
        <w:t xml:space="preserve">. </w:t>
      </w:r>
    </w:p>
    <w:p w14:paraId="344FDC55" w14:textId="09A3D1B5" w:rsidR="005D5CA3" w:rsidRDefault="005D5CA3" w:rsidP="005D5CA3">
      <w:pPr>
        <w:pStyle w:val="af"/>
        <w:rPr>
          <w:rtl/>
          <w:lang w:eastAsia="he-IL"/>
        </w:rPr>
      </w:pPr>
      <w:r>
        <w:rPr>
          <w:rFonts w:hint="cs"/>
          <w:rtl/>
          <w:lang w:eastAsia="he-IL"/>
        </w:rPr>
        <w:t xml:space="preserve">הדירה נרשמה בבעלות שווה של שני הצדדים. </w:t>
      </w:r>
    </w:p>
    <w:p w14:paraId="4F007A45" w14:textId="4D4CE153" w:rsidR="005D5CA3" w:rsidRDefault="005D5CA3" w:rsidP="005D5CA3">
      <w:pPr>
        <w:pStyle w:val="af"/>
        <w:rPr>
          <w:rtl/>
          <w:lang w:eastAsia="he-IL"/>
        </w:rPr>
      </w:pPr>
      <w:r>
        <w:rPr>
          <w:rFonts w:hint="cs"/>
          <w:rtl/>
          <w:lang w:eastAsia="he-IL"/>
        </w:rPr>
        <w:t xml:space="preserve">יחד עם זאת, הצדדים ערכו הסכם, לפיו, חלוקת הדירה בזמן פירוד תהיה שלא בהתאם לרישום אצל רשם המקרקעין, אלא ביחס של 18% למערערת, ו-82% למשיב, וזאת בהתאם למקורות המימון של רכישת הדירה. </w:t>
      </w:r>
    </w:p>
    <w:p w14:paraId="6231BEAB" w14:textId="77777777" w:rsidR="005D5CA3" w:rsidRDefault="005D5CA3" w:rsidP="005D5CA3">
      <w:pPr>
        <w:pStyle w:val="af"/>
        <w:rPr>
          <w:rtl/>
          <w:lang w:eastAsia="he-IL"/>
        </w:rPr>
      </w:pPr>
      <w:r>
        <w:rPr>
          <w:rFonts w:hint="cs"/>
          <w:rtl/>
          <w:lang w:eastAsia="he-IL"/>
        </w:rPr>
        <w:t xml:space="preserve">בתאריך 8.9.2024 תבע המשיב גירושין, כשהוא כורך לתביעתו אף את ענייני הרכוש. בתאריך 4.2.2025 התקיים בבי"ד קמא </w:t>
      </w:r>
      <w:r w:rsidRPr="00680C45">
        <w:rPr>
          <w:rFonts w:hint="cs"/>
          <w:sz w:val="24"/>
          <w:szCs w:val="24"/>
          <w:rtl/>
          <w:lang w:eastAsia="he-IL"/>
        </w:rPr>
        <w:t xml:space="preserve">(בפני הרכב קמא, בראשות כבוד הרה"ג יגאל לרר </w:t>
      </w:r>
      <w:proofErr w:type="spellStart"/>
      <w:r w:rsidRPr="00680C45">
        <w:rPr>
          <w:rFonts w:hint="cs"/>
          <w:sz w:val="24"/>
          <w:szCs w:val="24"/>
          <w:rtl/>
          <w:lang w:eastAsia="he-IL"/>
        </w:rPr>
        <w:t>שליט"א</w:t>
      </w:r>
      <w:proofErr w:type="spellEnd"/>
      <w:r w:rsidRPr="00680C45">
        <w:rPr>
          <w:rFonts w:hint="cs"/>
          <w:sz w:val="24"/>
          <w:szCs w:val="24"/>
          <w:rtl/>
          <w:lang w:eastAsia="he-IL"/>
        </w:rPr>
        <w:t>)</w:t>
      </w:r>
      <w:r>
        <w:rPr>
          <w:rFonts w:hint="cs"/>
          <w:rtl/>
          <w:lang w:eastAsia="he-IL"/>
        </w:rPr>
        <w:t xml:space="preserve"> דיון שעסק במכלול התביעות ובין השאר בעניין הבעלות על הדירה הנ"ל. </w:t>
      </w:r>
    </w:p>
    <w:p w14:paraId="296C94B8" w14:textId="77777777" w:rsidR="005D5CA3" w:rsidRDefault="005D5CA3" w:rsidP="005D5CA3">
      <w:pPr>
        <w:pStyle w:val="af"/>
        <w:rPr>
          <w:rtl/>
          <w:lang w:eastAsia="he-IL"/>
        </w:rPr>
      </w:pPr>
      <w:r>
        <w:rPr>
          <w:rFonts w:hint="cs"/>
          <w:rtl/>
          <w:lang w:eastAsia="he-IL"/>
        </w:rPr>
        <w:t xml:space="preserve">נצטט מפרוטוקול הדיון שורות 37-71, ובהמשך 87-103. </w:t>
      </w:r>
    </w:p>
    <w:p w14:paraId="45920E37" w14:textId="6289FFB3" w:rsidR="005D5CA3" w:rsidRDefault="005D5CA3" w:rsidP="005D5CA3">
      <w:pPr>
        <w:pStyle w:val="af"/>
        <w:rPr>
          <w:rtl/>
          <w:lang w:eastAsia="he-IL"/>
        </w:rPr>
      </w:pPr>
      <w:r>
        <w:rPr>
          <w:rFonts w:hint="cs"/>
          <w:rtl/>
          <w:lang w:eastAsia="he-IL"/>
        </w:rPr>
        <w:t xml:space="preserve">בפרוטוקול הדיון הוסבר ע"י הצדדים, מדוע הדירה נרשמה בחלקים שווים, כאשר בפועל הוסכם לחלוקה הנ"ל על פי אחוזים. כל צד הביא את עמדתו. </w:t>
      </w:r>
    </w:p>
    <w:p w14:paraId="0F3836BD" w14:textId="447BCC4D" w:rsidR="005D5CA3" w:rsidRDefault="005D5CA3" w:rsidP="005D5CA3">
      <w:pPr>
        <w:pStyle w:val="af"/>
        <w:rPr>
          <w:rtl/>
          <w:lang w:eastAsia="he-IL"/>
        </w:rPr>
      </w:pPr>
      <w:r>
        <w:rPr>
          <w:rFonts w:hint="cs"/>
          <w:rtl/>
          <w:lang w:eastAsia="he-IL"/>
        </w:rPr>
        <w:lastRenderedPageBreak/>
        <w:t>המשיב טען שהחלוקה הינה ביחס לכספים שכ</w:t>
      </w:r>
      <w:r w:rsidR="00F33FF5">
        <w:rPr>
          <w:rFonts w:hint="cs"/>
          <w:rtl/>
          <w:lang w:eastAsia="he-IL"/>
        </w:rPr>
        <w:t>ל אחד</w:t>
      </w:r>
      <w:r>
        <w:rPr>
          <w:rFonts w:hint="cs"/>
          <w:rtl/>
          <w:lang w:eastAsia="he-IL"/>
        </w:rPr>
        <w:t xml:space="preserve"> תרם מחלקו, כספים שהיו מוחרגים מאיזון המשאבים, בהתאם לחוק ובהתאם להסכם הממון מינואר 2006 שאושר ע"י נוטריון, והואיל והוא הביא 82% מעלות הדירה, הוסכם שזה חלקו. </w:t>
      </w:r>
    </w:p>
    <w:p w14:paraId="7A98B391" w14:textId="58EF34D7" w:rsidR="005D5CA3" w:rsidRDefault="005D5CA3" w:rsidP="005D5CA3">
      <w:pPr>
        <w:pStyle w:val="af"/>
        <w:rPr>
          <w:rtl/>
          <w:lang w:eastAsia="he-IL"/>
        </w:rPr>
      </w:pPr>
      <w:r>
        <w:rPr>
          <w:rFonts w:hint="cs"/>
          <w:rtl/>
          <w:lang w:eastAsia="he-IL"/>
        </w:rPr>
        <w:t>מנגד טענה המערערת להסכם אחר, שלא המציאה, ולפיו כל שנת נישואין, היא תקבל עוד 2%</w:t>
      </w:r>
      <w:r w:rsidR="00F33FF5">
        <w:rPr>
          <w:rFonts w:hint="cs"/>
          <w:rtl/>
          <w:lang w:eastAsia="he-IL"/>
        </w:rPr>
        <w:t xml:space="preserve"> נוספים.</w:t>
      </w:r>
    </w:p>
    <w:p w14:paraId="4F2DC9BF" w14:textId="77777777" w:rsidR="005D5CA3" w:rsidRDefault="005D5CA3" w:rsidP="005D5CA3">
      <w:pPr>
        <w:pStyle w:val="af"/>
        <w:rPr>
          <w:rtl/>
          <w:lang w:eastAsia="he-IL"/>
        </w:rPr>
      </w:pPr>
      <w:r>
        <w:rPr>
          <w:rFonts w:hint="cs"/>
          <w:rtl/>
          <w:lang w:eastAsia="he-IL"/>
        </w:rPr>
        <w:t>וכך נכתב בפרוטוקול הדיון:</w:t>
      </w:r>
    </w:p>
    <w:p w14:paraId="2AA178D5" w14:textId="77777777" w:rsidR="005D5CA3" w:rsidRPr="008A2011" w:rsidRDefault="005D5CA3" w:rsidP="005D5CA3">
      <w:pPr>
        <w:pStyle w:val="aa"/>
        <w:rPr>
          <w:lang w:eastAsia="he-IL"/>
        </w:rPr>
      </w:pPr>
      <w:r>
        <w:rPr>
          <w:rFonts w:hint="cs"/>
          <w:rtl/>
          <w:lang w:eastAsia="he-IL"/>
        </w:rPr>
        <w:t>"</w:t>
      </w:r>
      <w:r w:rsidRPr="008A2011">
        <w:rPr>
          <w:rtl/>
          <w:lang w:eastAsia="he-IL"/>
        </w:rPr>
        <w:t xml:space="preserve">האישה: כשקנינו את הדירה, בימים הראשונים, הדירה נרשמה על שמי במלואה, הייתה לו דירה נוספת ורשמנו על שמי כדי לא לשלם מס רכישה. על זה עשינו הסכם, שלמרות הרישום על שמי, היא חמישים </w:t>
      </w:r>
      <w:proofErr w:type="spellStart"/>
      <w:r w:rsidRPr="008A2011">
        <w:rPr>
          <w:rtl/>
          <w:lang w:eastAsia="he-IL"/>
        </w:rPr>
        <w:t>חמישים</w:t>
      </w:r>
      <w:proofErr w:type="spellEnd"/>
      <w:r w:rsidRPr="008A2011">
        <w:rPr>
          <w:rtl/>
          <w:lang w:eastAsia="he-IL"/>
        </w:rPr>
        <w:t xml:space="preserve">. </w:t>
      </w:r>
    </w:p>
    <w:p w14:paraId="0FA5520F" w14:textId="788C95F9" w:rsidR="005D5CA3" w:rsidRPr="008A2011" w:rsidRDefault="005D5CA3" w:rsidP="005D5CA3">
      <w:pPr>
        <w:pStyle w:val="aa"/>
        <w:rPr>
          <w:rtl/>
          <w:lang w:eastAsia="he-IL"/>
        </w:rPr>
      </w:pPr>
      <w:r w:rsidRPr="008A2011">
        <w:rPr>
          <w:rtl/>
          <w:lang w:eastAsia="he-IL"/>
        </w:rPr>
        <w:t xml:space="preserve">הבעל: היות וסכום הדירה היה גבוה, שני מיליון </w:t>
      </w:r>
      <w:r>
        <w:rPr>
          <w:rtl/>
          <w:lang w:eastAsia="he-IL"/>
        </w:rPr>
        <w:t>ש"ח</w:t>
      </w:r>
      <w:r w:rsidRPr="008A2011">
        <w:rPr>
          <w:rtl/>
          <w:lang w:eastAsia="he-IL"/>
        </w:rPr>
        <w:t>, וכדי לא לקחת משכנתא גבוהה, את רוב עלות הדירה שילמתי מכספי הפרטי, מהחשבון שלי הפרטי מלפני הנישואין, יש הסכם ממון, יש כאן את הצ'קים בהם רכשנו את הדירה, ועשינו הסכם שהדירה שייכת לנו לפי ההשקעה, עשינו חישוב ש-82 אחוז יירשם על שמי ו-18 אחוז על שמה.</w:t>
      </w:r>
    </w:p>
    <w:p w14:paraId="5449B249" w14:textId="77777777" w:rsidR="005D5CA3" w:rsidRPr="008A2011" w:rsidRDefault="005D5CA3" w:rsidP="005D5CA3">
      <w:pPr>
        <w:pStyle w:val="aa"/>
        <w:rPr>
          <w:rtl/>
          <w:lang w:eastAsia="he-IL"/>
        </w:rPr>
      </w:pPr>
      <w:r w:rsidRPr="008A2011">
        <w:rPr>
          <w:rtl/>
          <w:lang w:eastAsia="he-IL"/>
        </w:rPr>
        <w:t xml:space="preserve">הבעל ממציא לביה"ד את הסכם הממון. </w:t>
      </w:r>
    </w:p>
    <w:p w14:paraId="2A497423" w14:textId="77777777" w:rsidR="005D5CA3" w:rsidRPr="008A2011" w:rsidRDefault="005D5CA3" w:rsidP="005D5CA3">
      <w:pPr>
        <w:pStyle w:val="aa"/>
        <w:rPr>
          <w:rtl/>
          <w:lang w:eastAsia="he-IL"/>
        </w:rPr>
      </w:pPr>
      <w:r w:rsidRPr="008A2011">
        <w:rPr>
          <w:rtl/>
          <w:lang w:eastAsia="he-IL"/>
        </w:rPr>
        <w:t>ביה"ד: את מזהה את הנייר הזה?</w:t>
      </w:r>
    </w:p>
    <w:p w14:paraId="5EF91F7B" w14:textId="77777777" w:rsidR="005D5CA3" w:rsidRPr="008A2011" w:rsidRDefault="005D5CA3" w:rsidP="005D5CA3">
      <w:pPr>
        <w:pStyle w:val="aa"/>
        <w:rPr>
          <w:rtl/>
          <w:lang w:eastAsia="he-IL"/>
        </w:rPr>
      </w:pPr>
      <w:r w:rsidRPr="008A2011">
        <w:rPr>
          <w:rtl/>
          <w:lang w:eastAsia="he-IL"/>
        </w:rPr>
        <w:t xml:space="preserve">האישה: אני מזהה, אבל זה לא היה כתוב כך, אנחנו סיכמנו בהסכם שיהיה חמישים </w:t>
      </w:r>
      <w:proofErr w:type="spellStart"/>
      <w:r w:rsidRPr="008A2011">
        <w:rPr>
          <w:rtl/>
          <w:lang w:eastAsia="he-IL"/>
        </w:rPr>
        <w:t>חמישים</w:t>
      </w:r>
      <w:proofErr w:type="spellEnd"/>
      <w:r w:rsidRPr="008A2011">
        <w:rPr>
          <w:rtl/>
          <w:lang w:eastAsia="he-IL"/>
        </w:rPr>
        <w:t>, על הסכומים אין לי וויכוח, הוא שילם את רוב הסכום, אני כן רציתי שניקח משכנתא ושהוא לא ישלם מכספו, הוא לא הסכים, אמרתי לו, שאם כך, אני נשארת בלי דירה, לכן סיכמנו שנרשום שהוא נתן את רוב הכסף ובכל שנה יעברו על שמי כשני אחוזים.</w:t>
      </w:r>
    </w:p>
    <w:p w14:paraId="16399770" w14:textId="77777777" w:rsidR="005D5CA3" w:rsidRPr="008A2011" w:rsidRDefault="005D5CA3" w:rsidP="005D5CA3">
      <w:pPr>
        <w:pStyle w:val="aa"/>
        <w:rPr>
          <w:rtl/>
          <w:lang w:eastAsia="he-IL"/>
        </w:rPr>
      </w:pPr>
      <w:r w:rsidRPr="008A2011">
        <w:rPr>
          <w:rtl/>
          <w:lang w:eastAsia="he-IL"/>
        </w:rPr>
        <w:t>ביה"ד: זה לא המסמך הזה?</w:t>
      </w:r>
    </w:p>
    <w:p w14:paraId="3A7370CA" w14:textId="77777777" w:rsidR="005D5CA3" w:rsidRPr="008A2011" w:rsidRDefault="005D5CA3" w:rsidP="005D5CA3">
      <w:pPr>
        <w:pStyle w:val="aa"/>
        <w:rPr>
          <w:rtl/>
          <w:lang w:eastAsia="he-IL"/>
        </w:rPr>
      </w:pPr>
      <w:r w:rsidRPr="008A2011">
        <w:rPr>
          <w:rtl/>
          <w:lang w:eastAsia="he-IL"/>
        </w:rPr>
        <w:t xml:space="preserve">האישה: לא. </w:t>
      </w:r>
    </w:p>
    <w:p w14:paraId="79BACBB2" w14:textId="77777777" w:rsidR="005D5CA3" w:rsidRPr="008A2011" w:rsidRDefault="005D5CA3" w:rsidP="005D5CA3">
      <w:pPr>
        <w:pStyle w:val="aa"/>
        <w:rPr>
          <w:rtl/>
          <w:lang w:eastAsia="he-IL"/>
        </w:rPr>
      </w:pPr>
      <w:r w:rsidRPr="008A2011">
        <w:rPr>
          <w:rtl/>
          <w:lang w:eastAsia="he-IL"/>
        </w:rPr>
        <w:t>ביה"ד: יש לך מסמך אחר?</w:t>
      </w:r>
    </w:p>
    <w:p w14:paraId="0E257576" w14:textId="77777777" w:rsidR="005D5CA3" w:rsidRPr="008A2011" w:rsidRDefault="005D5CA3" w:rsidP="005D5CA3">
      <w:pPr>
        <w:pStyle w:val="aa"/>
        <w:rPr>
          <w:rtl/>
          <w:lang w:eastAsia="he-IL"/>
        </w:rPr>
      </w:pPr>
      <w:r w:rsidRPr="008A2011">
        <w:rPr>
          <w:rtl/>
          <w:lang w:eastAsia="he-IL"/>
        </w:rPr>
        <w:t xml:space="preserve">האישה: אין לי מסמך אחר, זה היה בינינו. אני זוכרת שכתבנו את זה. </w:t>
      </w:r>
    </w:p>
    <w:p w14:paraId="4E17E4D7" w14:textId="77777777" w:rsidR="005D5CA3" w:rsidRPr="008A2011" w:rsidRDefault="005D5CA3" w:rsidP="005D5CA3">
      <w:pPr>
        <w:pStyle w:val="aa"/>
        <w:rPr>
          <w:rtl/>
          <w:lang w:eastAsia="he-IL"/>
        </w:rPr>
      </w:pPr>
      <w:r w:rsidRPr="008A2011">
        <w:rPr>
          <w:rtl/>
          <w:lang w:eastAsia="he-IL"/>
        </w:rPr>
        <w:t>ביה"ד: אולי זה מופיע כאן?</w:t>
      </w:r>
    </w:p>
    <w:p w14:paraId="05B2F60F" w14:textId="198ACAA7" w:rsidR="005D5CA3" w:rsidRPr="008A2011" w:rsidRDefault="005D5CA3" w:rsidP="005D5CA3">
      <w:pPr>
        <w:pStyle w:val="aa"/>
        <w:rPr>
          <w:rtl/>
          <w:lang w:eastAsia="he-IL"/>
        </w:rPr>
      </w:pPr>
      <w:r w:rsidRPr="008A2011">
        <w:rPr>
          <w:rtl/>
          <w:lang w:eastAsia="he-IL"/>
        </w:rPr>
        <w:t xml:space="preserve">האישה: זה לא מופיע כאן. כשדיברתי עם </w:t>
      </w:r>
      <w:r>
        <w:rPr>
          <w:rtl/>
          <w:lang w:eastAsia="he-IL"/>
        </w:rPr>
        <w:t>[ע']</w:t>
      </w:r>
      <w:r w:rsidRPr="008A2011">
        <w:rPr>
          <w:rtl/>
          <w:lang w:eastAsia="he-IL"/>
        </w:rPr>
        <w:t xml:space="preserve"> סיכמנו בכתב יד את הדברים, הוא הביא בסוף את ההסכם, אני לא עו"ד, לא קראתי, זה היה ביני ובינו, רציתי להראות שאני הוגנת, בטחתי בו, רק אחרי זה ראיתי שאין שם את שני האחוזים האלו. </w:t>
      </w:r>
    </w:p>
    <w:p w14:paraId="3D964AC8" w14:textId="77777777" w:rsidR="005D5CA3" w:rsidRPr="008A2011" w:rsidRDefault="005D5CA3" w:rsidP="005D5CA3">
      <w:pPr>
        <w:pStyle w:val="aa"/>
        <w:rPr>
          <w:rtl/>
          <w:lang w:eastAsia="he-IL"/>
        </w:rPr>
      </w:pPr>
      <w:r w:rsidRPr="008A2011">
        <w:rPr>
          <w:rtl/>
          <w:lang w:eastAsia="he-IL"/>
        </w:rPr>
        <w:t xml:space="preserve">ביה"ד: אני שואל שאלה, המסמך הזה מוכר לך. </w:t>
      </w:r>
    </w:p>
    <w:p w14:paraId="49BFB060" w14:textId="77777777" w:rsidR="005D5CA3" w:rsidRPr="008A2011" w:rsidRDefault="005D5CA3" w:rsidP="005D5CA3">
      <w:pPr>
        <w:pStyle w:val="aa"/>
        <w:rPr>
          <w:rtl/>
          <w:lang w:eastAsia="he-IL"/>
        </w:rPr>
      </w:pPr>
      <w:r w:rsidRPr="008A2011">
        <w:rPr>
          <w:rtl/>
          <w:lang w:eastAsia="he-IL"/>
        </w:rPr>
        <w:t>האישה: אבל חסר בו...</w:t>
      </w:r>
    </w:p>
    <w:p w14:paraId="59DE24EC" w14:textId="77777777" w:rsidR="005D5CA3" w:rsidRPr="008A2011" w:rsidRDefault="005D5CA3" w:rsidP="005D5CA3">
      <w:pPr>
        <w:pStyle w:val="aa"/>
        <w:rPr>
          <w:rtl/>
          <w:lang w:eastAsia="he-IL"/>
        </w:rPr>
      </w:pPr>
      <w:r w:rsidRPr="008A2011">
        <w:rPr>
          <w:rtl/>
          <w:lang w:eastAsia="he-IL"/>
        </w:rPr>
        <w:t xml:space="preserve">ביה"ד: מה שדיברתם בעל פה. אבל חתמת על זה. </w:t>
      </w:r>
    </w:p>
    <w:p w14:paraId="3A3B479A" w14:textId="77777777" w:rsidR="005D5CA3" w:rsidRPr="008A2011" w:rsidRDefault="005D5CA3" w:rsidP="005D5CA3">
      <w:pPr>
        <w:pStyle w:val="aa"/>
        <w:rPr>
          <w:rtl/>
          <w:lang w:eastAsia="he-IL"/>
        </w:rPr>
      </w:pPr>
      <w:r w:rsidRPr="008A2011">
        <w:rPr>
          <w:rtl/>
          <w:lang w:eastAsia="he-IL"/>
        </w:rPr>
        <w:t xml:space="preserve">האישה: בלי עו"ד. חתמתי על זה. </w:t>
      </w:r>
    </w:p>
    <w:p w14:paraId="0F36BEEF" w14:textId="77777777" w:rsidR="005D5CA3" w:rsidRPr="008A2011" w:rsidRDefault="005D5CA3" w:rsidP="005D5CA3">
      <w:pPr>
        <w:pStyle w:val="aa"/>
        <w:rPr>
          <w:rtl/>
          <w:lang w:eastAsia="he-IL"/>
        </w:rPr>
      </w:pPr>
      <w:r w:rsidRPr="008A2011">
        <w:rPr>
          <w:rtl/>
          <w:lang w:eastAsia="he-IL"/>
        </w:rPr>
        <w:t>ביה"ד: לפי הבנתך, נניח שהיה רשום היום מה שסיכמתם בעל פה. כמה היית צריכה לקבל היום?</w:t>
      </w:r>
    </w:p>
    <w:p w14:paraId="42477E16" w14:textId="77777777" w:rsidR="005D5CA3" w:rsidRPr="008A2011" w:rsidRDefault="005D5CA3" w:rsidP="005D5CA3">
      <w:pPr>
        <w:pStyle w:val="aa"/>
        <w:rPr>
          <w:rtl/>
          <w:lang w:eastAsia="he-IL"/>
        </w:rPr>
      </w:pPr>
      <w:r w:rsidRPr="008A2011">
        <w:rPr>
          <w:rtl/>
          <w:lang w:eastAsia="he-IL"/>
        </w:rPr>
        <w:t xml:space="preserve">האישה: חמישים </w:t>
      </w:r>
      <w:proofErr w:type="spellStart"/>
      <w:r w:rsidRPr="008A2011">
        <w:rPr>
          <w:rtl/>
          <w:lang w:eastAsia="he-IL"/>
        </w:rPr>
        <w:t>חמישים</w:t>
      </w:r>
      <w:proofErr w:type="spellEnd"/>
      <w:r w:rsidRPr="008A2011">
        <w:rPr>
          <w:rtl/>
          <w:lang w:eastAsia="he-IL"/>
        </w:rPr>
        <w:t xml:space="preserve">, עברו 20 שנה, בהתחלה היו לי 18 אחוז. </w:t>
      </w:r>
    </w:p>
    <w:p w14:paraId="4BBCF2B9" w14:textId="77777777" w:rsidR="005D5CA3" w:rsidRPr="008A2011" w:rsidRDefault="005D5CA3" w:rsidP="005D5CA3">
      <w:pPr>
        <w:pStyle w:val="aa"/>
        <w:rPr>
          <w:rtl/>
          <w:lang w:eastAsia="he-IL"/>
        </w:rPr>
      </w:pPr>
      <w:r w:rsidRPr="008A2011">
        <w:rPr>
          <w:rtl/>
          <w:lang w:eastAsia="he-IL"/>
        </w:rPr>
        <w:t xml:space="preserve">ביה"ד: יש גם הסכם נוטריוני. </w:t>
      </w:r>
    </w:p>
    <w:p w14:paraId="2AB89028" w14:textId="77777777" w:rsidR="005D5CA3" w:rsidRPr="008A2011" w:rsidRDefault="005D5CA3" w:rsidP="005D5CA3">
      <w:pPr>
        <w:pStyle w:val="aa"/>
        <w:rPr>
          <w:rtl/>
          <w:lang w:eastAsia="he-IL"/>
        </w:rPr>
      </w:pPr>
      <w:r w:rsidRPr="008A2011">
        <w:rPr>
          <w:rtl/>
          <w:lang w:eastAsia="he-IL"/>
        </w:rPr>
        <w:lastRenderedPageBreak/>
        <w:t xml:space="preserve">ב"כ הבעל: יש מלפני הנישואין. </w:t>
      </w:r>
    </w:p>
    <w:p w14:paraId="057F060F" w14:textId="77777777" w:rsidR="005D5CA3" w:rsidRPr="008A2011" w:rsidRDefault="005D5CA3" w:rsidP="005D5CA3">
      <w:pPr>
        <w:pStyle w:val="aa"/>
        <w:rPr>
          <w:rtl/>
          <w:lang w:eastAsia="he-IL"/>
        </w:rPr>
      </w:pPr>
      <w:r w:rsidRPr="008A2011">
        <w:rPr>
          <w:rtl/>
          <w:lang w:eastAsia="he-IL"/>
        </w:rPr>
        <w:t xml:space="preserve">האישה: זה אותו נוטריון שעשינו אצלו את ההסכם ממון, אצלו עשינו גם את ההסכם השני. </w:t>
      </w:r>
    </w:p>
    <w:p w14:paraId="75181169" w14:textId="77777777" w:rsidR="005D5CA3" w:rsidRPr="008A2011" w:rsidRDefault="005D5CA3" w:rsidP="005D5CA3">
      <w:pPr>
        <w:pStyle w:val="aa"/>
        <w:rPr>
          <w:rtl/>
          <w:lang w:eastAsia="he-IL"/>
        </w:rPr>
      </w:pPr>
      <w:r w:rsidRPr="008A2011">
        <w:rPr>
          <w:rtl/>
          <w:lang w:eastAsia="he-IL"/>
        </w:rPr>
        <w:t xml:space="preserve">הבעל: אנחנו לא הסכמנו על שום אחוזים, ההסכמה הייתה על פי השקעה. </w:t>
      </w:r>
    </w:p>
    <w:p w14:paraId="3760F08A" w14:textId="77777777" w:rsidR="005D5CA3" w:rsidRPr="008A2011" w:rsidRDefault="005D5CA3" w:rsidP="005D5CA3">
      <w:pPr>
        <w:pStyle w:val="aa"/>
        <w:rPr>
          <w:rtl/>
          <w:lang w:eastAsia="he-IL"/>
        </w:rPr>
      </w:pPr>
      <w:r w:rsidRPr="008A2011">
        <w:rPr>
          <w:rtl/>
          <w:lang w:eastAsia="he-IL"/>
        </w:rPr>
        <w:t xml:space="preserve">האישה: ההסכם השני היה צריך להיות מאושר על ידי נוטריון. </w:t>
      </w:r>
    </w:p>
    <w:p w14:paraId="1CF8C0AA" w14:textId="77777777" w:rsidR="005D5CA3" w:rsidRPr="008A2011" w:rsidRDefault="005D5CA3" w:rsidP="005D5CA3">
      <w:pPr>
        <w:pStyle w:val="aa"/>
        <w:rPr>
          <w:rtl/>
          <w:lang w:eastAsia="he-IL"/>
        </w:rPr>
      </w:pPr>
      <w:r w:rsidRPr="008A2011">
        <w:rPr>
          <w:rtl/>
          <w:lang w:eastAsia="he-IL"/>
        </w:rPr>
        <w:t>ביה"ד: לא קראת את ההסכם?</w:t>
      </w:r>
    </w:p>
    <w:p w14:paraId="0E040E21" w14:textId="77777777" w:rsidR="005D5CA3" w:rsidRPr="008A2011" w:rsidRDefault="005D5CA3" w:rsidP="005D5CA3">
      <w:pPr>
        <w:pStyle w:val="aa"/>
        <w:rPr>
          <w:rtl/>
          <w:lang w:eastAsia="he-IL"/>
        </w:rPr>
      </w:pPr>
      <w:r w:rsidRPr="008A2011">
        <w:rPr>
          <w:rtl/>
          <w:lang w:eastAsia="he-IL"/>
        </w:rPr>
        <w:t xml:space="preserve">האישה: קראתי ברפרוף. </w:t>
      </w:r>
    </w:p>
    <w:p w14:paraId="4C9ECFB2" w14:textId="3E5B3DB0" w:rsidR="005D5CA3" w:rsidRPr="008A2011" w:rsidRDefault="005D5CA3" w:rsidP="005D5CA3">
      <w:pPr>
        <w:pStyle w:val="aa"/>
        <w:rPr>
          <w:rtl/>
          <w:lang w:eastAsia="he-IL"/>
        </w:rPr>
      </w:pPr>
      <w:r w:rsidRPr="008A2011">
        <w:rPr>
          <w:rtl/>
          <w:lang w:eastAsia="he-IL"/>
        </w:rPr>
        <w:t>הבעל: אף פעם לא דיברנו</w:t>
      </w:r>
      <w:r>
        <w:rPr>
          <w:rtl/>
          <w:lang w:eastAsia="he-IL"/>
        </w:rPr>
        <w:t xml:space="preserve"> </w:t>
      </w:r>
      <w:r w:rsidRPr="008A2011">
        <w:rPr>
          <w:rtl/>
          <w:lang w:eastAsia="he-IL"/>
        </w:rPr>
        <w:t>על שתי אחוז</w:t>
      </w:r>
      <w:r w:rsidR="003944AC">
        <w:rPr>
          <w:rFonts w:hint="cs"/>
          <w:rtl/>
          <w:lang w:eastAsia="he-IL"/>
        </w:rPr>
        <w:t>ים</w:t>
      </w:r>
      <w:r w:rsidRPr="008A2011">
        <w:rPr>
          <w:rtl/>
          <w:lang w:eastAsia="he-IL"/>
        </w:rPr>
        <w:t>.</w:t>
      </w:r>
    </w:p>
    <w:p w14:paraId="0392B2FD" w14:textId="103EF742" w:rsidR="005D5CA3" w:rsidRDefault="005D5CA3" w:rsidP="005D5CA3">
      <w:pPr>
        <w:pStyle w:val="aa"/>
        <w:rPr>
          <w:rtl/>
          <w:lang w:eastAsia="he-IL"/>
        </w:rPr>
      </w:pPr>
      <w:r>
        <w:rPr>
          <w:rFonts w:hint="cs"/>
          <w:rtl/>
          <w:lang w:eastAsia="he-IL"/>
        </w:rPr>
        <w:t>[...]</w:t>
      </w:r>
    </w:p>
    <w:p w14:paraId="2DE946CA" w14:textId="77777777" w:rsidR="005D5CA3" w:rsidRPr="008A2011" w:rsidRDefault="005D5CA3" w:rsidP="005D5CA3">
      <w:pPr>
        <w:pStyle w:val="aa"/>
        <w:rPr>
          <w:lang w:eastAsia="he-IL"/>
        </w:rPr>
      </w:pPr>
      <w:r w:rsidRPr="008A2011">
        <w:rPr>
          <w:rtl/>
          <w:lang w:eastAsia="he-IL"/>
        </w:rPr>
        <w:t xml:space="preserve">ב"כ הבעל: סעיף 4 גם אומר שפירות הנכסים הנ"ל לא יאוזנו, הפירות הם 82 אחוז מהדירה שרכשו. </w:t>
      </w:r>
    </w:p>
    <w:p w14:paraId="694D73AB" w14:textId="77777777" w:rsidR="005D5CA3" w:rsidRPr="008A2011" w:rsidRDefault="005D5CA3" w:rsidP="005D5CA3">
      <w:pPr>
        <w:pStyle w:val="aa"/>
        <w:rPr>
          <w:rtl/>
          <w:lang w:eastAsia="he-IL"/>
        </w:rPr>
      </w:pPr>
      <w:r w:rsidRPr="008A2011">
        <w:rPr>
          <w:rtl/>
          <w:lang w:eastAsia="he-IL"/>
        </w:rPr>
        <w:t>ביה"ד: למה לא עשיתם את הרישום בדירה על פי האמור בהסכם?</w:t>
      </w:r>
    </w:p>
    <w:p w14:paraId="5B5B617A" w14:textId="77777777" w:rsidR="005D5CA3" w:rsidRPr="008A2011" w:rsidRDefault="005D5CA3" w:rsidP="005D5CA3">
      <w:pPr>
        <w:pStyle w:val="aa"/>
        <w:rPr>
          <w:rtl/>
          <w:lang w:eastAsia="he-IL"/>
        </w:rPr>
      </w:pPr>
      <w:r w:rsidRPr="008A2011">
        <w:rPr>
          <w:rtl/>
          <w:lang w:eastAsia="he-IL"/>
        </w:rPr>
        <w:t xml:space="preserve">הבעל: כי חשבתי שההסכם הזה מספיק. </w:t>
      </w:r>
    </w:p>
    <w:p w14:paraId="5BB776E9" w14:textId="77777777" w:rsidR="005D5CA3" w:rsidRPr="008A2011" w:rsidRDefault="005D5CA3" w:rsidP="005D5CA3">
      <w:pPr>
        <w:pStyle w:val="aa"/>
        <w:rPr>
          <w:rtl/>
          <w:lang w:eastAsia="he-IL"/>
        </w:rPr>
      </w:pPr>
      <w:r w:rsidRPr="008A2011">
        <w:rPr>
          <w:rtl/>
          <w:lang w:eastAsia="he-IL"/>
        </w:rPr>
        <w:t xml:space="preserve">ביה"ד: רשמת בטאבו את הדירה חמישים </w:t>
      </w:r>
      <w:proofErr w:type="spellStart"/>
      <w:r w:rsidRPr="008A2011">
        <w:rPr>
          <w:rtl/>
          <w:lang w:eastAsia="he-IL"/>
        </w:rPr>
        <w:t>חמישים</w:t>
      </w:r>
      <w:proofErr w:type="spellEnd"/>
      <w:r w:rsidRPr="008A2011">
        <w:rPr>
          <w:rtl/>
          <w:lang w:eastAsia="he-IL"/>
        </w:rPr>
        <w:t>. איזה סכום הכנסת לדירה?</w:t>
      </w:r>
    </w:p>
    <w:p w14:paraId="2859B092" w14:textId="080AD8B2" w:rsidR="005D5CA3" w:rsidRPr="008A2011" w:rsidRDefault="005D5CA3" w:rsidP="005D5CA3">
      <w:pPr>
        <w:pStyle w:val="aa"/>
        <w:rPr>
          <w:rtl/>
          <w:lang w:eastAsia="he-IL"/>
        </w:rPr>
      </w:pPr>
      <w:r w:rsidRPr="008A2011">
        <w:rPr>
          <w:rtl/>
          <w:lang w:eastAsia="he-IL"/>
        </w:rPr>
        <w:t>הבעל: 1</w:t>
      </w:r>
      <w:r w:rsidR="007E581E">
        <w:rPr>
          <w:rFonts w:hint="cs"/>
          <w:rtl/>
          <w:lang w:eastAsia="he-IL"/>
        </w:rPr>
        <w:t>,</w:t>
      </w:r>
      <w:r w:rsidRPr="008A2011">
        <w:rPr>
          <w:rtl/>
          <w:lang w:eastAsia="he-IL"/>
        </w:rPr>
        <w:t>380</w:t>
      </w:r>
      <w:r w:rsidR="007E581E">
        <w:rPr>
          <w:rFonts w:hint="cs"/>
          <w:rtl/>
          <w:lang w:eastAsia="he-IL"/>
        </w:rPr>
        <w:t>,</w:t>
      </w:r>
      <w:r w:rsidRPr="008A2011">
        <w:rPr>
          <w:rtl/>
          <w:lang w:eastAsia="he-IL"/>
        </w:rPr>
        <w:t xml:space="preserve">000 </w:t>
      </w:r>
      <w:r>
        <w:rPr>
          <w:rtl/>
          <w:lang w:eastAsia="he-IL"/>
        </w:rPr>
        <w:t>ש"ח</w:t>
      </w:r>
      <w:r w:rsidRPr="008A2011">
        <w:rPr>
          <w:rtl/>
          <w:lang w:eastAsia="he-IL"/>
        </w:rPr>
        <w:t xml:space="preserve"> הכנסתי לדירה.</w:t>
      </w:r>
    </w:p>
    <w:p w14:paraId="13D7A869" w14:textId="77777777" w:rsidR="005D5CA3" w:rsidRPr="008A2011" w:rsidRDefault="005D5CA3" w:rsidP="005D5CA3">
      <w:pPr>
        <w:pStyle w:val="aa"/>
        <w:rPr>
          <w:rtl/>
          <w:lang w:eastAsia="he-IL"/>
        </w:rPr>
      </w:pPr>
      <w:r w:rsidRPr="008A2011">
        <w:rPr>
          <w:rtl/>
          <w:lang w:eastAsia="he-IL"/>
        </w:rPr>
        <w:t xml:space="preserve">ביה"ד: את בעצם מודה בהסכם הזה, אלא שאת אומרת שההסכם תוקן לאחר החתונה. למה רשמת את הדירה חמישים </w:t>
      </w:r>
      <w:proofErr w:type="spellStart"/>
      <w:r w:rsidRPr="008A2011">
        <w:rPr>
          <w:rtl/>
          <w:lang w:eastAsia="he-IL"/>
        </w:rPr>
        <w:t>חמישים</w:t>
      </w:r>
      <w:proofErr w:type="spellEnd"/>
      <w:r w:rsidRPr="008A2011">
        <w:rPr>
          <w:rtl/>
          <w:lang w:eastAsia="he-IL"/>
        </w:rPr>
        <w:t>?</w:t>
      </w:r>
    </w:p>
    <w:p w14:paraId="53646FAD" w14:textId="77777777" w:rsidR="005D5CA3" w:rsidRPr="008A2011" w:rsidRDefault="005D5CA3" w:rsidP="005D5CA3">
      <w:pPr>
        <w:pStyle w:val="aa"/>
        <w:rPr>
          <w:rtl/>
          <w:lang w:eastAsia="he-IL"/>
        </w:rPr>
      </w:pPr>
      <w:r w:rsidRPr="008A2011">
        <w:rPr>
          <w:rtl/>
          <w:lang w:eastAsia="he-IL"/>
        </w:rPr>
        <w:t>הבעל: לא הייתי מודע לכך שאפשר לרשום אחוזים.</w:t>
      </w:r>
    </w:p>
    <w:p w14:paraId="4F1D2E24" w14:textId="77777777" w:rsidR="005D5CA3" w:rsidRPr="008A2011" w:rsidRDefault="005D5CA3" w:rsidP="005D5CA3">
      <w:pPr>
        <w:pStyle w:val="aa"/>
        <w:rPr>
          <w:rtl/>
          <w:lang w:eastAsia="he-IL"/>
        </w:rPr>
      </w:pPr>
      <w:r w:rsidRPr="008A2011">
        <w:rPr>
          <w:rtl/>
          <w:lang w:eastAsia="he-IL"/>
        </w:rPr>
        <w:t>ביה"ד: אז למה לא השארת את כל הדירה על שמה?</w:t>
      </w:r>
    </w:p>
    <w:p w14:paraId="2D80034E" w14:textId="77777777" w:rsidR="005D5CA3" w:rsidRPr="008A2011" w:rsidRDefault="005D5CA3" w:rsidP="005D5CA3">
      <w:pPr>
        <w:pStyle w:val="aa"/>
        <w:rPr>
          <w:rtl/>
          <w:lang w:eastAsia="he-IL"/>
        </w:rPr>
      </w:pPr>
      <w:r w:rsidRPr="008A2011">
        <w:rPr>
          <w:rtl/>
          <w:lang w:eastAsia="he-IL"/>
        </w:rPr>
        <w:t xml:space="preserve">הבעל: אף פעם לא הייתה על שמה. </w:t>
      </w:r>
    </w:p>
    <w:p w14:paraId="230B9437" w14:textId="77777777" w:rsidR="005D5CA3" w:rsidRPr="008A2011" w:rsidRDefault="005D5CA3" w:rsidP="005D5CA3">
      <w:pPr>
        <w:pStyle w:val="aa"/>
        <w:rPr>
          <w:rtl/>
          <w:lang w:eastAsia="he-IL"/>
        </w:rPr>
      </w:pPr>
      <w:r w:rsidRPr="008A2011">
        <w:rPr>
          <w:rtl/>
          <w:lang w:eastAsia="he-IL"/>
        </w:rPr>
        <w:t>ביה"ד: לא היו שני שלבים?</w:t>
      </w:r>
    </w:p>
    <w:p w14:paraId="0E41C365" w14:textId="77777777" w:rsidR="005D5CA3" w:rsidRPr="008A2011" w:rsidRDefault="005D5CA3" w:rsidP="005D5CA3">
      <w:pPr>
        <w:pStyle w:val="aa"/>
        <w:rPr>
          <w:rtl/>
          <w:lang w:eastAsia="he-IL"/>
        </w:rPr>
      </w:pPr>
      <w:r w:rsidRPr="008A2011">
        <w:rPr>
          <w:rtl/>
          <w:lang w:eastAsia="he-IL"/>
        </w:rPr>
        <w:t xml:space="preserve">הבעל: לא. בטאבו היה רק רישום אחד, מעולם לא היו שני שלבים. </w:t>
      </w:r>
    </w:p>
    <w:p w14:paraId="0BF1C320" w14:textId="77777777" w:rsidR="005D5CA3" w:rsidRPr="008A2011" w:rsidRDefault="005D5CA3" w:rsidP="005D5CA3">
      <w:pPr>
        <w:pStyle w:val="aa"/>
        <w:rPr>
          <w:rtl/>
          <w:lang w:eastAsia="he-IL"/>
        </w:rPr>
      </w:pPr>
      <w:r w:rsidRPr="008A2011">
        <w:rPr>
          <w:rtl/>
          <w:lang w:eastAsia="he-IL"/>
        </w:rPr>
        <w:t>ביה"ד: אולי בחברה המשכנת.</w:t>
      </w:r>
    </w:p>
    <w:p w14:paraId="54D75666" w14:textId="77777777" w:rsidR="005D5CA3" w:rsidRPr="008A2011" w:rsidRDefault="005D5CA3" w:rsidP="005D5CA3">
      <w:pPr>
        <w:pStyle w:val="aa"/>
        <w:rPr>
          <w:rtl/>
          <w:lang w:eastAsia="he-IL"/>
        </w:rPr>
      </w:pPr>
      <w:r w:rsidRPr="008A2011">
        <w:rPr>
          <w:rtl/>
          <w:lang w:eastAsia="he-IL"/>
        </w:rPr>
        <w:t xml:space="preserve">הבעל: לא היה מעולם. </w:t>
      </w:r>
    </w:p>
    <w:p w14:paraId="641A7499" w14:textId="3F171E4A" w:rsidR="005D5CA3" w:rsidRPr="008A2011" w:rsidRDefault="005D5CA3" w:rsidP="005D5CA3">
      <w:pPr>
        <w:pStyle w:val="aa"/>
        <w:rPr>
          <w:rtl/>
          <w:lang w:eastAsia="he-IL"/>
        </w:rPr>
      </w:pPr>
      <w:r w:rsidRPr="008A2011">
        <w:rPr>
          <w:rtl/>
          <w:lang w:eastAsia="he-IL"/>
        </w:rPr>
        <w:t>ביה"ד: כל דירה</w:t>
      </w:r>
      <w:r>
        <w:rPr>
          <w:rtl/>
          <w:lang w:eastAsia="he-IL"/>
        </w:rPr>
        <w:t xml:space="preserve"> </w:t>
      </w:r>
      <w:r w:rsidRPr="008A2011">
        <w:rPr>
          <w:rtl/>
          <w:lang w:eastAsia="he-IL"/>
        </w:rPr>
        <w:t xml:space="preserve">יש לה את ההיסטוריה שלה והיא מופיעה בטאבו. </w:t>
      </w:r>
    </w:p>
    <w:p w14:paraId="65F800D9" w14:textId="77777777" w:rsidR="005D5CA3" w:rsidRPr="008A2011" w:rsidRDefault="005D5CA3" w:rsidP="005D5CA3">
      <w:pPr>
        <w:pStyle w:val="aa"/>
        <w:rPr>
          <w:rtl/>
          <w:lang w:eastAsia="he-IL"/>
        </w:rPr>
      </w:pPr>
      <w:r w:rsidRPr="008A2011">
        <w:rPr>
          <w:rtl/>
          <w:lang w:eastAsia="he-IL"/>
        </w:rPr>
        <w:t xml:space="preserve">האישה: אני לא יודעת אם זה היה רשום בטאבו, בחברת </w:t>
      </w:r>
      <w:proofErr w:type="spellStart"/>
      <w:r w:rsidRPr="008A2011">
        <w:rPr>
          <w:rtl/>
          <w:lang w:eastAsia="he-IL"/>
        </w:rPr>
        <w:t>אנגלו</w:t>
      </w:r>
      <w:proofErr w:type="spellEnd"/>
      <w:r w:rsidRPr="008A2011">
        <w:rPr>
          <w:rtl/>
          <w:lang w:eastAsia="he-IL"/>
        </w:rPr>
        <w:t xml:space="preserve">-סקסון הוא רשם את הדירה על שמי. </w:t>
      </w:r>
    </w:p>
    <w:p w14:paraId="76457AEB" w14:textId="77777777" w:rsidR="005D5CA3" w:rsidRPr="008A2011" w:rsidRDefault="005D5CA3" w:rsidP="005D5CA3">
      <w:pPr>
        <w:pStyle w:val="aa"/>
        <w:rPr>
          <w:rtl/>
          <w:lang w:eastAsia="he-IL"/>
        </w:rPr>
      </w:pPr>
      <w:r w:rsidRPr="008A2011">
        <w:rPr>
          <w:rtl/>
          <w:lang w:eastAsia="he-IL"/>
        </w:rPr>
        <w:t>הבעל: זה מעולם לא היה.</w:t>
      </w:r>
      <w:r>
        <w:rPr>
          <w:rFonts w:hint="cs"/>
          <w:rtl/>
          <w:lang w:eastAsia="he-IL"/>
        </w:rPr>
        <w:t>"</w:t>
      </w:r>
    </w:p>
    <w:p w14:paraId="4D36CEC6" w14:textId="77777777" w:rsidR="005D5CA3" w:rsidRDefault="005D5CA3" w:rsidP="005D5CA3">
      <w:pPr>
        <w:pStyle w:val="af"/>
        <w:rPr>
          <w:rtl/>
          <w:lang w:eastAsia="he-IL"/>
        </w:rPr>
      </w:pPr>
      <w:r>
        <w:rPr>
          <w:rFonts w:hint="cs"/>
          <w:rtl/>
          <w:lang w:eastAsia="he-IL"/>
        </w:rPr>
        <w:t xml:space="preserve">הועלתה טענה שההסכם מיום 9.8.2009, לא אושר ע"י ערכאה שיפוטית, בהתאם לסעיף 2 לחוק יחסי ממון בין בני זוג. </w:t>
      </w:r>
    </w:p>
    <w:p w14:paraId="4AA77146" w14:textId="77777777" w:rsidR="005D5CA3" w:rsidRDefault="005D5CA3" w:rsidP="005D5CA3">
      <w:pPr>
        <w:pStyle w:val="af"/>
        <w:rPr>
          <w:rtl/>
          <w:lang w:eastAsia="he-IL"/>
        </w:rPr>
      </w:pPr>
      <w:r>
        <w:rPr>
          <w:rFonts w:hint="cs"/>
          <w:rtl/>
          <w:lang w:eastAsia="he-IL"/>
        </w:rPr>
        <w:t xml:space="preserve">בי"ד קמא </w:t>
      </w:r>
      <w:r w:rsidRPr="00680C45">
        <w:rPr>
          <w:rFonts w:hint="cs"/>
          <w:sz w:val="24"/>
          <w:szCs w:val="24"/>
          <w:rtl/>
          <w:lang w:eastAsia="he-IL"/>
        </w:rPr>
        <w:t>(בהרכב קמא)</w:t>
      </w:r>
      <w:r>
        <w:rPr>
          <w:rFonts w:hint="cs"/>
          <w:rtl/>
          <w:lang w:eastAsia="he-IL"/>
        </w:rPr>
        <w:t>, בהחלטתו מיום 11.2.2025 קבע שחלוקת הדירה תהיה בהתאם להסכם הנ"ל:</w:t>
      </w:r>
    </w:p>
    <w:p w14:paraId="73E7C22B" w14:textId="77777777" w:rsidR="005D5CA3" w:rsidRPr="005E334D" w:rsidRDefault="005D5CA3" w:rsidP="005D5CA3">
      <w:pPr>
        <w:pStyle w:val="aa"/>
        <w:rPr>
          <w:lang w:eastAsia="he-IL"/>
        </w:rPr>
      </w:pPr>
      <w:r>
        <w:rPr>
          <w:rFonts w:hint="cs"/>
          <w:rtl/>
          <w:lang w:eastAsia="he-IL"/>
        </w:rPr>
        <w:t>"</w:t>
      </w:r>
      <w:r w:rsidRPr="005E334D">
        <w:rPr>
          <w:rtl/>
          <w:lang w:eastAsia="he-IL"/>
        </w:rPr>
        <w:t xml:space="preserve">את הסכם הממון הנוטריוני יש לקבל בהתאם לחוק יחסי ממון בין בני זוג בו נקבע כי הסכם שאושר על ידי נוטריון ערב הנישואין הוא בר תוקף </w:t>
      </w:r>
      <w:r w:rsidRPr="00680C45">
        <w:rPr>
          <w:sz w:val="24"/>
          <w:szCs w:val="24"/>
          <w:rtl/>
          <w:lang w:eastAsia="he-IL"/>
        </w:rPr>
        <w:t>(סעיף 2 (ג' 1)</w:t>
      </w:r>
      <w:r w:rsidRPr="005E334D">
        <w:rPr>
          <w:rtl/>
          <w:lang w:eastAsia="he-IL"/>
        </w:rPr>
        <w:t xml:space="preserve"> </w:t>
      </w:r>
      <w:r w:rsidRPr="007E581E">
        <w:rPr>
          <w:sz w:val="20"/>
          <w:szCs w:val="24"/>
          <w:rtl/>
          <w:lang w:eastAsia="he-IL"/>
        </w:rPr>
        <w:t>לחוק יחסי ממון בין בני זוג תשל"ג-1973)</w:t>
      </w:r>
      <w:r w:rsidRPr="005E334D">
        <w:rPr>
          <w:rtl/>
          <w:lang w:eastAsia="he-IL"/>
        </w:rPr>
        <w:t xml:space="preserve">. גם את הסכם הממון שערכו הצדדים </w:t>
      </w:r>
      <w:r w:rsidRPr="005E334D">
        <w:rPr>
          <w:rtl/>
          <w:lang w:eastAsia="he-IL"/>
        </w:rPr>
        <w:lastRenderedPageBreak/>
        <w:t xml:space="preserve">שלוש שנים לאחר הנישואין יש לקבל למרות שהוא לא אושר על ידי ערכאה משפטית כפי שהדבר נדרש בהתאם לחוק יחסי ממון </w:t>
      </w:r>
      <w:r w:rsidRPr="00680C45">
        <w:rPr>
          <w:sz w:val="24"/>
          <w:szCs w:val="24"/>
          <w:rtl/>
          <w:lang w:eastAsia="he-IL"/>
        </w:rPr>
        <w:t>(סעיף 2 (א) (ב)).</w:t>
      </w:r>
      <w:r w:rsidRPr="005E334D">
        <w:rPr>
          <w:rtl/>
          <w:lang w:eastAsia="he-IL"/>
        </w:rPr>
        <w:t xml:space="preserve"> בנסיבות שלפנינו יש לקבל אותו, בנסיבות אלה ונבהיר זאת בהמשך הדברים.</w:t>
      </w:r>
    </w:p>
    <w:p w14:paraId="1D10D8A5" w14:textId="36D7887E" w:rsidR="005D5CA3" w:rsidRPr="005E334D" w:rsidRDefault="005D5CA3" w:rsidP="005D5CA3">
      <w:pPr>
        <w:pStyle w:val="aa"/>
        <w:rPr>
          <w:rtl/>
          <w:lang w:eastAsia="he-IL"/>
        </w:rPr>
      </w:pPr>
      <w:r w:rsidRPr="005E334D">
        <w:rPr>
          <w:rtl/>
          <w:lang w:eastAsia="he-IL"/>
        </w:rPr>
        <w:t xml:space="preserve">כאמור, סכום ההשקעה של הבעל בסך 1.38 מיליון </w:t>
      </w:r>
      <w:r>
        <w:rPr>
          <w:rtl/>
          <w:lang w:eastAsia="he-IL"/>
        </w:rPr>
        <w:t>ש"ח</w:t>
      </w:r>
      <w:r w:rsidRPr="005E334D">
        <w:rPr>
          <w:rtl/>
          <w:lang w:eastAsia="he-IL"/>
        </w:rPr>
        <w:t xml:space="preserve"> היא עובדה מוסכמת על ידי הצדדים. בהסכם הממון השני שהצדדים ערכו לפני רכישת הדירה מתברר שסכום זה מהווה יחס של 82% מעלות רכישת הדירה, בעוד שחלקה של האישה הוא 18% בשווי הדירה. אלה הם נתונים מוסכמים, כך שהסכם הממון השני מהווה כהשלמה להסכם הממון הנוטריוני שנערך טרום הנישואין, ולא כהסכם עצמאי </w:t>
      </w:r>
      <w:r w:rsidRPr="00680C45">
        <w:rPr>
          <w:sz w:val="24"/>
          <w:szCs w:val="24"/>
          <w:rtl/>
          <w:lang w:eastAsia="he-IL"/>
        </w:rPr>
        <w:t>(הדורש אישור משפטי)</w:t>
      </w:r>
      <w:r w:rsidRPr="005E334D">
        <w:rPr>
          <w:rtl/>
          <w:lang w:eastAsia="he-IL"/>
        </w:rPr>
        <w:t xml:space="preserve">. מלבד זאת הסכם זה גם מהווה כגילוי דעת ברור של הצדדים לפיו אין ללכת אחרי הרישום הרשמי של הדירה בטאבו. בלשון ההלכה נאמר כי ישנה כאן גילוי דעת ומודעה מצדו של הבעל לפיו הוא לא היה מעוניין לתת את כספיו הפרטיים </w:t>
      </w:r>
      <w:r w:rsidRPr="00680C45">
        <w:rPr>
          <w:sz w:val="24"/>
          <w:szCs w:val="24"/>
          <w:rtl/>
          <w:lang w:eastAsia="he-IL"/>
        </w:rPr>
        <w:t>(1.38 מיליון ש"ח)</w:t>
      </w:r>
      <w:r w:rsidRPr="005E334D">
        <w:rPr>
          <w:rtl/>
          <w:lang w:eastAsia="he-IL"/>
        </w:rPr>
        <w:t xml:space="preserve"> כמתנה לאישה באמצעות רישום בחלקים שווים של הדירה. טעם נוסף לקבל את ההסכם הוא מדיני תנאי השותפים כפי שיתבאר להלן. </w:t>
      </w:r>
    </w:p>
    <w:p w14:paraId="2A53F082" w14:textId="58354C88" w:rsidR="005D5CA3" w:rsidRPr="005E334D" w:rsidRDefault="005D5CA3" w:rsidP="005D5CA3">
      <w:pPr>
        <w:pStyle w:val="aa"/>
        <w:rPr>
          <w:rtl/>
          <w:lang w:eastAsia="he-IL"/>
        </w:rPr>
      </w:pPr>
      <w:r w:rsidRPr="005E334D">
        <w:rPr>
          <w:rtl/>
          <w:lang w:eastAsia="he-IL"/>
        </w:rPr>
        <w:t xml:space="preserve">כאמור, סלע המחלוקת נוגע להשבחת שווי הדירה מעבר לסך שהשקיע הבעל במועד הרכישה, </w:t>
      </w:r>
      <w:r w:rsidR="007E581E">
        <w:rPr>
          <w:rFonts w:hint="cs"/>
          <w:rtl/>
          <w:lang w:eastAsia="he-IL"/>
        </w:rPr>
        <w:t>-</w:t>
      </w:r>
      <w:r w:rsidRPr="005E334D">
        <w:rPr>
          <w:rtl/>
          <w:lang w:eastAsia="he-IL"/>
        </w:rPr>
        <w:t xml:space="preserve"> דהיינו סך 3.289 מיליון </w:t>
      </w:r>
      <w:r>
        <w:rPr>
          <w:rtl/>
          <w:lang w:eastAsia="he-IL"/>
        </w:rPr>
        <w:t>ש"ח</w:t>
      </w:r>
      <w:r w:rsidRPr="005E334D">
        <w:rPr>
          <w:rtl/>
          <w:lang w:eastAsia="he-IL"/>
        </w:rPr>
        <w:t xml:space="preserve"> - עליו הצדדים חלוקים. האישה דורשת מחצית, והבעל טוען כי חלקה היחסי נמוך בהרבה </w:t>
      </w:r>
      <w:r w:rsidRPr="00680C45">
        <w:rPr>
          <w:sz w:val="24"/>
          <w:szCs w:val="24"/>
          <w:rtl/>
          <w:lang w:eastAsia="he-IL"/>
        </w:rPr>
        <w:t>(18%)</w:t>
      </w:r>
      <w:r w:rsidRPr="005E334D">
        <w:rPr>
          <w:rtl/>
          <w:lang w:eastAsia="he-IL"/>
        </w:rPr>
        <w:t>.</w:t>
      </w:r>
    </w:p>
    <w:p w14:paraId="713E7866" w14:textId="77777777" w:rsidR="005D5CA3" w:rsidRPr="005E334D" w:rsidRDefault="005D5CA3" w:rsidP="005D5CA3">
      <w:pPr>
        <w:pStyle w:val="aa"/>
        <w:rPr>
          <w:rtl/>
          <w:lang w:eastAsia="he-IL"/>
        </w:rPr>
      </w:pPr>
      <w:r w:rsidRPr="005E334D">
        <w:rPr>
          <w:rtl/>
          <w:lang w:eastAsia="he-IL"/>
        </w:rPr>
        <w:t>השאלה שעולה לדיון היא שאלה משפטית בהלכות שותפים: האם שותפים בדירה משותפת אמורים להתחלק לפי יחס הכספים שכל אחד הכניס לשותפות, או שחלוקת הרווחים תהיה לאמצע דהיינו בחלקים שווים.</w:t>
      </w:r>
    </w:p>
    <w:p w14:paraId="049DE4B5" w14:textId="71406A4B" w:rsidR="005D5CA3" w:rsidRDefault="005D5CA3" w:rsidP="005D5CA3">
      <w:pPr>
        <w:pStyle w:val="aa"/>
        <w:rPr>
          <w:rtl/>
          <w:lang w:eastAsia="he-IL"/>
        </w:rPr>
      </w:pPr>
      <w:r>
        <w:rPr>
          <w:rFonts w:hint="cs"/>
          <w:rtl/>
          <w:lang w:eastAsia="he-IL"/>
        </w:rPr>
        <w:t>[...]</w:t>
      </w:r>
    </w:p>
    <w:p w14:paraId="385BACC6" w14:textId="7A13CD2C" w:rsidR="005D5CA3" w:rsidRPr="005E334D" w:rsidRDefault="005D5CA3" w:rsidP="005D5CA3">
      <w:pPr>
        <w:pStyle w:val="aa"/>
        <w:rPr>
          <w:lang w:eastAsia="he-IL"/>
        </w:rPr>
      </w:pPr>
      <w:r w:rsidRPr="005E334D">
        <w:rPr>
          <w:rtl/>
          <w:lang w:eastAsia="he-IL"/>
        </w:rPr>
        <w:t>אולם במקרה שלפנינו לאחר שהצדדים כבר ערכו הסכם ממון נוטריוני שאושר כחוק ערב נישואיהם ובהסכם זה</w:t>
      </w:r>
      <w:r>
        <w:rPr>
          <w:rtl/>
          <w:lang w:eastAsia="he-IL"/>
        </w:rPr>
        <w:t xml:space="preserve"> </w:t>
      </w:r>
      <w:r w:rsidRPr="005E334D">
        <w:rPr>
          <w:rtl/>
          <w:lang w:eastAsia="he-IL"/>
        </w:rPr>
        <w:t xml:space="preserve">הם קבעו את הפרדת הכספים הפרטיים של הבעל מלפני הנישואין </w:t>
      </w:r>
      <w:r w:rsidR="007E581E">
        <w:rPr>
          <w:rFonts w:hint="cs"/>
          <w:rtl/>
          <w:lang w:eastAsia="he-IL"/>
        </w:rPr>
        <w:t>-</w:t>
      </w:r>
      <w:r w:rsidRPr="005E334D">
        <w:rPr>
          <w:rtl/>
          <w:lang w:eastAsia="he-IL"/>
        </w:rPr>
        <w:t xml:space="preserve"> אם כן יש לראות בהסכם הממון השני כגילוי מילתא וכהשלמה בלבד להסכם הנוטריוני. תכליתו של ההסכם הוא להגדיר את גובה ההשקעה של הבעל ושל האישה לפי ערכה של ההשקעה היחסי, באחוזים, בדירה שאותה הם עמדו אז לרכוש. מאחר שההסכם הראשון הוא חוקי, לכן יש להכיר בהסכם השני כגילוי וכהשלמה להסכם הראשון, ולא כהסכם עצמאי ונפרד. בפרט כאשר גם לפי ההלכה יש לראות בהסכם הממון השני כהסכמה חוזית בין שותפים בהתאם להלכות השותפים "שהכול לפי תנאיהם" כנפסק בשולחן ערוך כנ"ל. </w:t>
      </w:r>
    </w:p>
    <w:p w14:paraId="30000A89" w14:textId="77777777" w:rsidR="005D5CA3" w:rsidRPr="005E334D" w:rsidRDefault="005D5CA3" w:rsidP="005D5CA3">
      <w:pPr>
        <w:pStyle w:val="aa"/>
        <w:rPr>
          <w:rtl/>
          <w:lang w:eastAsia="he-IL"/>
        </w:rPr>
      </w:pPr>
      <w:r w:rsidRPr="005E334D">
        <w:rPr>
          <w:rtl/>
          <w:lang w:eastAsia="he-IL"/>
        </w:rPr>
        <w:t xml:space="preserve">בהתאם לאמור, </w:t>
      </w:r>
    </w:p>
    <w:p w14:paraId="0CA1051C" w14:textId="082AB37A" w:rsidR="005D5CA3" w:rsidRPr="005E334D" w:rsidRDefault="005D5CA3" w:rsidP="005D5CA3">
      <w:pPr>
        <w:pStyle w:val="af3"/>
        <w:rPr>
          <w:rtl/>
          <w:lang w:eastAsia="he-IL"/>
        </w:rPr>
      </w:pPr>
      <w:r>
        <w:rPr>
          <w:rFonts w:hint="cs"/>
          <w:rtl/>
          <w:lang w:eastAsia="he-IL"/>
        </w:rPr>
        <w:t xml:space="preserve">1. </w:t>
      </w:r>
      <w:r w:rsidRPr="005E334D">
        <w:rPr>
          <w:rtl/>
          <w:lang w:eastAsia="he-IL"/>
        </w:rPr>
        <w:t xml:space="preserve">ניתן בזאת צו לפירוק שיתוף בדירת הצדדים </w:t>
      </w:r>
      <w:proofErr w:type="spellStart"/>
      <w:r w:rsidRPr="005E334D">
        <w:rPr>
          <w:rtl/>
          <w:lang w:eastAsia="he-IL"/>
        </w:rPr>
        <w:t>בש</w:t>
      </w:r>
      <w:proofErr w:type="spellEnd"/>
      <w:r w:rsidR="00B27F69">
        <w:rPr>
          <w:rFonts w:hint="cs"/>
          <w:rtl/>
          <w:lang w:eastAsia="he-IL"/>
        </w:rPr>
        <w:t>'</w:t>
      </w:r>
      <w:r w:rsidRPr="005E334D">
        <w:rPr>
          <w:rtl/>
          <w:lang w:eastAsia="he-IL"/>
        </w:rPr>
        <w:t xml:space="preserve">. </w:t>
      </w:r>
    </w:p>
    <w:p w14:paraId="184DC6C3" w14:textId="6F350AC3" w:rsidR="005D5CA3" w:rsidRPr="005E334D" w:rsidRDefault="005D5CA3" w:rsidP="005D5CA3">
      <w:pPr>
        <w:pStyle w:val="af3"/>
        <w:rPr>
          <w:rtl/>
          <w:lang w:eastAsia="he-IL"/>
        </w:rPr>
      </w:pPr>
      <w:r>
        <w:rPr>
          <w:rFonts w:hint="cs"/>
          <w:rtl/>
          <w:lang w:eastAsia="he-IL"/>
        </w:rPr>
        <w:t xml:space="preserve">2. </w:t>
      </w:r>
      <w:r w:rsidRPr="005E334D">
        <w:rPr>
          <w:rtl/>
          <w:lang w:eastAsia="he-IL"/>
        </w:rPr>
        <w:t xml:space="preserve">יש לקבל את טענות הבעל ולהורות על חלוקה בדירה המשותפת </w:t>
      </w:r>
      <w:proofErr w:type="spellStart"/>
      <w:r w:rsidRPr="005E334D">
        <w:rPr>
          <w:rtl/>
          <w:lang w:eastAsia="he-IL"/>
        </w:rPr>
        <w:t>בש</w:t>
      </w:r>
      <w:proofErr w:type="spellEnd"/>
      <w:r w:rsidR="00B27F69">
        <w:rPr>
          <w:rFonts w:hint="cs"/>
          <w:rtl/>
          <w:lang w:eastAsia="he-IL"/>
        </w:rPr>
        <w:t>'</w:t>
      </w:r>
      <w:r w:rsidRPr="005E334D">
        <w:rPr>
          <w:rtl/>
          <w:lang w:eastAsia="he-IL"/>
        </w:rPr>
        <w:t xml:space="preserve"> בשיעור של 82% לטובת האיש, ו-18% לטובת האישה. את איזון המשאבים יש לערוך כפי שמקובל כאשר הכספים הנזילים יחולקו מיד, והעתידיים יחולקו בהתאם לחוק לחלוקה פנסיונית.</w:t>
      </w:r>
      <w:r>
        <w:rPr>
          <w:rFonts w:hint="cs"/>
          <w:rtl/>
          <w:lang w:eastAsia="he-IL"/>
        </w:rPr>
        <w:t>"</w:t>
      </w:r>
    </w:p>
    <w:p w14:paraId="7ACED42B" w14:textId="571D2ABA" w:rsidR="005D5CA3" w:rsidRDefault="005D5CA3" w:rsidP="005D5CA3">
      <w:pPr>
        <w:pStyle w:val="af"/>
        <w:rPr>
          <w:rtl/>
          <w:lang w:eastAsia="he-IL"/>
        </w:rPr>
      </w:pPr>
      <w:r>
        <w:rPr>
          <w:rFonts w:hint="cs"/>
          <w:rtl/>
          <w:lang w:eastAsia="he-IL"/>
        </w:rPr>
        <w:t>הנה כי כן, קבע בי"ד קמא - שההסכם השני, הוא למעשה פועל יוצא מההסכם הראשון, והוא בעצם ביצוע הלכה למעשה של ההסכם הראשון. הואיל ובהסכם הראשון, שאושר כדת וכדין בפני נוטריון, הוחרגו כספים ונכסים של המשיב מערב הנישואין, הם ופירותיהם, והואיל ו</w:t>
      </w:r>
      <w:r w:rsidR="00B27F69">
        <w:rPr>
          <w:rFonts w:hint="cs"/>
          <w:rtl/>
          <w:lang w:eastAsia="he-IL"/>
        </w:rPr>
        <w:t>-</w:t>
      </w:r>
      <w:r>
        <w:rPr>
          <w:rFonts w:hint="cs"/>
          <w:rtl/>
          <w:lang w:eastAsia="he-IL"/>
        </w:rPr>
        <w:t>82% מהדירה מומנה מהכספים הנ"ל, ההסכם בא להבהיר הלכה למעשה את ביצוע ההסכם מינואר 2006.</w:t>
      </w:r>
    </w:p>
    <w:p w14:paraId="6BAE71B3" w14:textId="6BCB06E0" w:rsidR="005D5CA3" w:rsidRDefault="005D5CA3" w:rsidP="005D5CA3">
      <w:pPr>
        <w:pStyle w:val="af"/>
        <w:rPr>
          <w:rtl/>
          <w:lang w:eastAsia="he-IL"/>
        </w:rPr>
      </w:pPr>
      <w:r>
        <w:rPr>
          <w:rFonts w:hint="cs"/>
          <w:rtl/>
          <w:lang w:eastAsia="he-IL"/>
        </w:rPr>
        <w:lastRenderedPageBreak/>
        <w:t xml:space="preserve">בהמשך - התיק הועבר להרכב החדש בראשות כבוד אב"ד הרה"ג יצחק רפפורט </w:t>
      </w:r>
      <w:proofErr w:type="spellStart"/>
      <w:r>
        <w:rPr>
          <w:rFonts w:hint="cs"/>
          <w:rtl/>
          <w:lang w:eastAsia="he-IL"/>
        </w:rPr>
        <w:t>שליט"א</w:t>
      </w:r>
      <w:proofErr w:type="spellEnd"/>
      <w:r>
        <w:rPr>
          <w:rFonts w:hint="cs"/>
          <w:rtl/>
          <w:lang w:eastAsia="he-IL"/>
        </w:rPr>
        <w:t xml:space="preserve">. בתאריך 24.11.2025 התקיים דיון בפני ההרכב הנוכחי, ובסיום הדיון ניתנה החלטה </w:t>
      </w:r>
      <w:r w:rsidRPr="00680C45">
        <w:rPr>
          <w:rFonts w:hint="cs"/>
          <w:sz w:val="24"/>
          <w:szCs w:val="24"/>
          <w:rtl/>
          <w:lang w:eastAsia="he-IL"/>
        </w:rPr>
        <w:t xml:space="preserve">(עליה הוגשה בפנינו הבקשה </w:t>
      </w:r>
      <w:proofErr w:type="spellStart"/>
      <w:r w:rsidRPr="00680C45">
        <w:rPr>
          <w:rFonts w:hint="cs"/>
          <w:sz w:val="24"/>
          <w:szCs w:val="24"/>
          <w:rtl/>
          <w:lang w:eastAsia="he-IL"/>
        </w:rPr>
        <w:t>לר"ע</w:t>
      </w:r>
      <w:proofErr w:type="spellEnd"/>
      <w:r w:rsidRPr="00680C45">
        <w:rPr>
          <w:rFonts w:hint="cs"/>
          <w:sz w:val="24"/>
          <w:szCs w:val="24"/>
          <w:rtl/>
          <w:lang w:eastAsia="he-IL"/>
        </w:rPr>
        <w:t>)</w:t>
      </w:r>
      <w:r>
        <w:rPr>
          <w:rFonts w:hint="cs"/>
          <w:rtl/>
          <w:lang w:eastAsia="he-IL"/>
        </w:rPr>
        <w:t xml:space="preserve"> כדלהלן:</w:t>
      </w:r>
    </w:p>
    <w:p w14:paraId="051816A2" w14:textId="4A1A47BC" w:rsidR="005D5CA3" w:rsidRPr="00600D16" w:rsidRDefault="005D5CA3" w:rsidP="005D5CA3">
      <w:pPr>
        <w:pStyle w:val="aa"/>
        <w:rPr>
          <w:lang w:eastAsia="he-IL"/>
        </w:rPr>
      </w:pPr>
      <w:r>
        <w:rPr>
          <w:rFonts w:hint="cs"/>
          <w:rtl/>
          <w:lang w:eastAsia="he-IL"/>
        </w:rPr>
        <w:t>א. "</w:t>
      </w:r>
      <w:r w:rsidRPr="00600D16">
        <w:rPr>
          <w:rtl/>
          <w:lang w:eastAsia="he-IL"/>
        </w:rPr>
        <w:t>לנוכח הצהרת ה</w:t>
      </w:r>
      <w:r>
        <w:rPr>
          <w:rtl/>
          <w:lang w:eastAsia="he-IL"/>
        </w:rPr>
        <w:t>אישה</w:t>
      </w:r>
      <w:r w:rsidRPr="00600D16">
        <w:rPr>
          <w:rtl/>
          <w:lang w:eastAsia="he-IL"/>
        </w:rPr>
        <w:t xml:space="preserve"> שאינה מעוניינת בשלו</w:t>
      </w:r>
      <w:r>
        <w:rPr>
          <w:rFonts w:hint="cs"/>
          <w:rtl/>
          <w:lang w:eastAsia="he-IL"/>
        </w:rPr>
        <w:t>ם בית</w:t>
      </w:r>
      <w:r w:rsidRPr="00600D16">
        <w:rPr>
          <w:rtl/>
          <w:lang w:eastAsia="he-IL"/>
        </w:rPr>
        <w:t xml:space="preserve"> ומעוניינת להתגרש ולנוכח טענותיה כלפי הבעל. מקבל ביה"ד את תביעת הגירושין של הבעל </w:t>
      </w:r>
      <w:r w:rsidRPr="00600D16">
        <w:rPr>
          <w:b/>
          <w:bCs/>
          <w:rtl/>
          <w:lang w:eastAsia="he-IL"/>
        </w:rPr>
        <w:t>וה</w:t>
      </w:r>
      <w:r>
        <w:rPr>
          <w:b/>
          <w:bCs/>
          <w:rtl/>
          <w:lang w:eastAsia="he-IL"/>
        </w:rPr>
        <w:t>אישה</w:t>
      </w:r>
      <w:r w:rsidRPr="00600D16">
        <w:rPr>
          <w:b/>
          <w:bCs/>
          <w:rtl/>
          <w:lang w:eastAsia="he-IL"/>
        </w:rPr>
        <w:t xml:space="preserve"> חייבת להתגרש</w:t>
      </w:r>
      <w:r w:rsidRPr="00600D16">
        <w:rPr>
          <w:rtl/>
          <w:lang w:eastAsia="he-IL"/>
        </w:rPr>
        <w:t xml:space="preserve"> מדין </w:t>
      </w:r>
      <w:r w:rsidR="00B27F69">
        <w:rPr>
          <w:rFonts w:hint="cs"/>
          <w:rtl/>
          <w:lang w:eastAsia="he-IL"/>
        </w:rPr>
        <w:t>"</w:t>
      </w:r>
      <w:r w:rsidRPr="00600D16">
        <w:rPr>
          <w:rtl/>
          <w:lang w:eastAsia="he-IL"/>
        </w:rPr>
        <w:t>מורדים זה על זה</w:t>
      </w:r>
      <w:r w:rsidR="00B27F69">
        <w:rPr>
          <w:rFonts w:hint="cs"/>
          <w:rtl/>
          <w:lang w:eastAsia="he-IL"/>
        </w:rPr>
        <w:t>"</w:t>
      </w:r>
      <w:r w:rsidRPr="00600D16">
        <w:rPr>
          <w:rtl/>
          <w:lang w:eastAsia="he-IL"/>
        </w:rPr>
        <w:t>. היות והבעל מוכן לשלם את כתובתה אין ל</w:t>
      </w:r>
      <w:r>
        <w:rPr>
          <w:rtl/>
          <w:lang w:eastAsia="he-IL"/>
        </w:rPr>
        <w:t>אישה</w:t>
      </w:r>
      <w:r w:rsidRPr="00600D16">
        <w:rPr>
          <w:rtl/>
          <w:lang w:eastAsia="he-IL"/>
        </w:rPr>
        <w:t xml:space="preserve"> זכות לעכב את הגירושין בגין אי תשלום הכתובה. </w:t>
      </w:r>
    </w:p>
    <w:p w14:paraId="08290572" w14:textId="6D3EE37E" w:rsidR="005D5CA3" w:rsidRPr="00600D16" w:rsidRDefault="005D5CA3" w:rsidP="005D5CA3">
      <w:pPr>
        <w:pStyle w:val="aa"/>
        <w:rPr>
          <w:lang w:eastAsia="he-IL"/>
        </w:rPr>
      </w:pPr>
      <w:r>
        <w:rPr>
          <w:rFonts w:hint="cs"/>
          <w:rtl/>
          <w:lang w:eastAsia="he-IL"/>
        </w:rPr>
        <w:t xml:space="preserve">ב. </w:t>
      </w:r>
      <w:r w:rsidRPr="00600D16">
        <w:rPr>
          <w:rtl/>
          <w:lang w:eastAsia="he-IL"/>
        </w:rPr>
        <w:t xml:space="preserve">ביה"ד קובע מועד לסידור גט ליום ח' </w:t>
      </w:r>
      <w:r w:rsidR="00B27F69">
        <w:rPr>
          <w:rFonts w:hint="cs"/>
          <w:rtl/>
          <w:lang w:eastAsia="he-IL"/>
        </w:rPr>
        <w:t>ב</w:t>
      </w:r>
      <w:r w:rsidRPr="00600D16">
        <w:rPr>
          <w:rtl/>
          <w:lang w:eastAsia="he-IL"/>
        </w:rPr>
        <w:t>טבת תשפ"ו</w:t>
      </w:r>
      <w:r>
        <w:rPr>
          <w:rFonts w:hint="cs"/>
          <w:rtl/>
          <w:lang w:eastAsia="he-IL"/>
        </w:rPr>
        <w:t xml:space="preserve"> </w:t>
      </w:r>
      <w:r w:rsidRPr="00680C45">
        <w:rPr>
          <w:rFonts w:hint="cs"/>
          <w:sz w:val="24"/>
          <w:szCs w:val="24"/>
          <w:rtl/>
          <w:lang w:eastAsia="he-IL"/>
        </w:rPr>
        <w:t>(28.12.2025)</w:t>
      </w:r>
      <w:r w:rsidRPr="00600D16">
        <w:rPr>
          <w:rtl/>
          <w:lang w:eastAsia="he-IL"/>
        </w:rPr>
        <w:t xml:space="preserve"> בשעה 9:00. </w:t>
      </w:r>
    </w:p>
    <w:p w14:paraId="28C2898F" w14:textId="3FFEE880" w:rsidR="005D5CA3" w:rsidRPr="00600D16" w:rsidRDefault="005D5CA3" w:rsidP="005D5CA3">
      <w:pPr>
        <w:pStyle w:val="aa"/>
        <w:rPr>
          <w:lang w:eastAsia="he-IL"/>
        </w:rPr>
      </w:pPr>
      <w:r w:rsidRPr="00600D16">
        <w:rPr>
          <w:rtl/>
          <w:lang w:eastAsia="he-IL"/>
        </w:rPr>
        <w:t>במידה וה</w:t>
      </w:r>
      <w:r>
        <w:rPr>
          <w:rtl/>
          <w:lang w:eastAsia="he-IL"/>
        </w:rPr>
        <w:t>אישה</w:t>
      </w:r>
      <w:r w:rsidRPr="00600D16">
        <w:rPr>
          <w:rtl/>
          <w:lang w:eastAsia="he-IL"/>
        </w:rPr>
        <w:t xml:space="preserve"> לא תקבל את גיטה באותו המועד יהיה האיש רשאי לפתוח תיק להטלת צווי הגבלה.</w:t>
      </w:r>
    </w:p>
    <w:p w14:paraId="4A23EDB1" w14:textId="6CCA1198" w:rsidR="005D5CA3" w:rsidRPr="00600D16" w:rsidRDefault="005D5CA3" w:rsidP="005D5CA3">
      <w:pPr>
        <w:pStyle w:val="aa"/>
        <w:rPr>
          <w:rtl/>
          <w:lang w:eastAsia="he-IL"/>
        </w:rPr>
      </w:pPr>
      <w:r>
        <w:rPr>
          <w:rFonts w:hint="cs"/>
          <w:rtl/>
          <w:lang w:eastAsia="he-IL"/>
        </w:rPr>
        <w:t xml:space="preserve">ג. </w:t>
      </w:r>
      <w:r w:rsidRPr="00600D16">
        <w:rPr>
          <w:rtl/>
          <w:lang w:eastAsia="he-IL"/>
        </w:rPr>
        <w:t>הבעל יעביר ל</w:t>
      </w:r>
      <w:r>
        <w:rPr>
          <w:rtl/>
          <w:lang w:eastAsia="he-IL"/>
        </w:rPr>
        <w:t>אישה</w:t>
      </w:r>
      <w:r w:rsidRPr="00600D16">
        <w:rPr>
          <w:rtl/>
          <w:lang w:eastAsia="he-IL"/>
        </w:rPr>
        <w:t xml:space="preserve"> סך של 135,380 </w:t>
      </w:r>
      <w:r>
        <w:rPr>
          <w:rtl/>
          <w:lang w:eastAsia="he-IL"/>
        </w:rPr>
        <w:t>ש"ח</w:t>
      </w:r>
      <w:r w:rsidRPr="00600D16">
        <w:rPr>
          <w:rtl/>
          <w:lang w:eastAsia="he-IL"/>
        </w:rPr>
        <w:t xml:space="preserve"> ע"ח קרן ההשתלמות. </w:t>
      </w:r>
    </w:p>
    <w:p w14:paraId="5F6288B9" w14:textId="0A30350B" w:rsidR="005D5CA3" w:rsidRPr="00600D16" w:rsidRDefault="005D5CA3" w:rsidP="005D5CA3">
      <w:pPr>
        <w:pStyle w:val="aa"/>
        <w:rPr>
          <w:lang w:eastAsia="he-IL"/>
        </w:rPr>
      </w:pPr>
      <w:r>
        <w:rPr>
          <w:rFonts w:hint="cs"/>
          <w:rtl/>
          <w:lang w:eastAsia="he-IL"/>
        </w:rPr>
        <w:t xml:space="preserve">ד. </w:t>
      </w:r>
      <w:r w:rsidRPr="00600D16">
        <w:rPr>
          <w:rtl/>
          <w:lang w:eastAsia="he-IL"/>
        </w:rPr>
        <w:t>היתרה בחשבון</w:t>
      </w:r>
      <w:r>
        <w:rPr>
          <w:rtl/>
          <w:lang w:eastAsia="he-IL"/>
        </w:rPr>
        <w:t xml:space="preserve"> </w:t>
      </w:r>
      <w:r w:rsidRPr="00600D16">
        <w:rPr>
          <w:rtl/>
          <w:lang w:eastAsia="he-IL"/>
        </w:rPr>
        <w:t xml:space="preserve">המוקפא על סך 467,945.61 </w:t>
      </w:r>
      <w:r>
        <w:rPr>
          <w:rtl/>
          <w:lang w:eastAsia="he-IL"/>
        </w:rPr>
        <w:t>ש"ח</w:t>
      </w:r>
      <w:r w:rsidRPr="00600D16">
        <w:rPr>
          <w:rtl/>
          <w:lang w:eastAsia="he-IL"/>
        </w:rPr>
        <w:t xml:space="preserve"> תחולק בחלקים שווים בין הצדדים.</w:t>
      </w:r>
    </w:p>
    <w:p w14:paraId="622410D9" w14:textId="39755B68" w:rsidR="005D5CA3" w:rsidRPr="00600D16" w:rsidRDefault="005D5CA3" w:rsidP="005D5CA3">
      <w:pPr>
        <w:pStyle w:val="aa"/>
        <w:rPr>
          <w:lang w:eastAsia="he-IL"/>
        </w:rPr>
      </w:pPr>
      <w:r>
        <w:rPr>
          <w:rFonts w:hint="cs"/>
          <w:rtl/>
          <w:lang w:eastAsia="he-IL"/>
        </w:rPr>
        <w:t xml:space="preserve">ה. </w:t>
      </w:r>
      <w:r w:rsidRPr="00600D16">
        <w:rPr>
          <w:rtl/>
          <w:lang w:eastAsia="he-IL"/>
        </w:rPr>
        <w:t>לאיזון הרכבים הבעל יעביר ל</w:t>
      </w:r>
      <w:r>
        <w:rPr>
          <w:rtl/>
          <w:lang w:eastAsia="he-IL"/>
        </w:rPr>
        <w:t>אישה</w:t>
      </w:r>
      <w:r w:rsidRPr="00600D16">
        <w:rPr>
          <w:rtl/>
          <w:lang w:eastAsia="he-IL"/>
        </w:rPr>
        <w:t xml:space="preserve"> סך של 14,499 </w:t>
      </w:r>
      <w:r>
        <w:rPr>
          <w:rtl/>
          <w:lang w:eastAsia="he-IL"/>
        </w:rPr>
        <w:t>ש"ח</w:t>
      </w:r>
      <w:r w:rsidRPr="00600D16">
        <w:rPr>
          <w:rtl/>
          <w:lang w:eastAsia="he-IL"/>
        </w:rPr>
        <w:t xml:space="preserve">. </w:t>
      </w:r>
    </w:p>
    <w:p w14:paraId="1CA74766" w14:textId="55E49870" w:rsidR="005D5CA3" w:rsidRPr="00600D16" w:rsidRDefault="005D5CA3" w:rsidP="005D5CA3">
      <w:pPr>
        <w:pStyle w:val="aa"/>
        <w:rPr>
          <w:lang w:eastAsia="he-IL"/>
        </w:rPr>
      </w:pPr>
      <w:r>
        <w:rPr>
          <w:rFonts w:hint="cs"/>
          <w:rtl/>
          <w:lang w:eastAsia="he-IL"/>
        </w:rPr>
        <w:t xml:space="preserve">ו. </w:t>
      </w:r>
      <w:r w:rsidRPr="00600D16">
        <w:rPr>
          <w:rtl/>
          <w:lang w:eastAsia="he-IL"/>
        </w:rPr>
        <w:t xml:space="preserve">האקטואר יגיש פסיקתות לחתימת ביה"ד לצורך חלוקת הזכויות העתידיות בהתאם לחוות הדעת האקטוארית. </w:t>
      </w:r>
    </w:p>
    <w:p w14:paraId="586AE37A" w14:textId="64B31A7A" w:rsidR="005D5CA3" w:rsidRPr="00600D16" w:rsidRDefault="005D5CA3" w:rsidP="005D5CA3">
      <w:pPr>
        <w:pStyle w:val="aa"/>
        <w:rPr>
          <w:lang w:eastAsia="he-IL"/>
        </w:rPr>
      </w:pPr>
      <w:r>
        <w:rPr>
          <w:rFonts w:hint="cs"/>
          <w:rtl/>
          <w:lang w:eastAsia="he-IL"/>
        </w:rPr>
        <w:t xml:space="preserve">ז. </w:t>
      </w:r>
      <w:r w:rsidRPr="00600D16">
        <w:rPr>
          <w:rtl/>
          <w:lang w:eastAsia="he-IL"/>
        </w:rPr>
        <w:t xml:space="preserve">ביה"ד לא יסגור את התיק </w:t>
      </w:r>
      <w:proofErr w:type="spellStart"/>
      <w:r w:rsidRPr="00600D16">
        <w:rPr>
          <w:rtl/>
          <w:lang w:eastAsia="he-IL"/>
        </w:rPr>
        <w:t>הרכושי</w:t>
      </w:r>
      <w:proofErr w:type="spellEnd"/>
      <w:r w:rsidR="007E581E">
        <w:rPr>
          <w:rFonts w:hint="cs"/>
          <w:rtl/>
          <w:lang w:eastAsia="he-IL"/>
        </w:rPr>
        <w:t>.</w:t>
      </w:r>
      <w:r w:rsidRPr="00600D16">
        <w:rPr>
          <w:rtl/>
          <w:lang w:eastAsia="he-IL"/>
        </w:rPr>
        <w:t xml:space="preserve"> ה</w:t>
      </w:r>
      <w:r>
        <w:rPr>
          <w:rtl/>
          <w:lang w:eastAsia="he-IL"/>
        </w:rPr>
        <w:t>אישה</w:t>
      </w:r>
      <w:r w:rsidRPr="00600D16">
        <w:rPr>
          <w:rtl/>
          <w:lang w:eastAsia="he-IL"/>
        </w:rPr>
        <w:t xml:space="preserve"> רשאית על חשבונה למנות רו"ח חוקר ולקבל צווי גילוי מסמכים</w:t>
      </w:r>
      <w:r w:rsidR="00B27F69">
        <w:rPr>
          <w:rFonts w:hint="cs"/>
          <w:rtl/>
          <w:lang w:eastAsia="he-IL"/>
        </w:rPr>
        <w:t>,</w:t>
      </w:r>
      <w:r w:rsidRPr="00600D16">
        <w:rPr>
          <w:rtl/>
          <w:lang w:eastAsia="he-IL"/>
        </w:rPr>
        <w:t xml:space="preserve"> ככל ותמצא זכויות שלא דווחו לאקטואר היא תהיה זכאית לקבל את מלוא הזכויות </w:t>
      </w:r>
      <w:r w:rsidRPr="00680C45">
        <w:rPr>
          <w:sz w:val="24"/>
          <w:szCs w:val="24"/>
          <w:rtl/>
          <w:lang w:eastAsia="he-IL"/>
        </w:rPr>
        <w:t>(ולא 50% כמתחייב בחוק)</w:t>
      </w:r>
      <w:r w:rsidR="00B27F69">
        <w:rPr>
          <w:rFonts w:hint="cs"/>
          <w:rtl/>
          <w:lang w:eastAsia="he-IL"/>
        </w:rPr>
        <w:t>.</w:t>
      </w:r>
      <w:r w:rsidRPr="00600D16">
        <w:rPr>
          <w:rtl/>
          <w:lang w:eastAsia="he-IL"/>
        </w:rPr>
        <w:t xml:space="preserve"> </w:t>
      </w:r>
    </w:p>
    <w:p w14:paraId="17A5ADD8" w14:textId="470BA5E0" w:rsidR="005D5CA3" w:rsidRPr="00600D16" w:rsidRDefault="005D5CA3" w:rsidP="005D5CA3">
      <w:pPr>
        <w:pStyle w:val="aa"/>
        <w:rPr>
          <w:lang w:eastAsia="he-IL"/>
        </w:rPr>
      </w:pPr>
      <w:r>
        <w:rPr>
          <w:rFonts w:hint="cs"/>
          <w:rtl/>
          <w:lang w:eastAsia="he-IL"/>
        </w:rPr>
        <w:t xml:space="preserve">ח. </w:t>
      </w:r>
      <w:r w:rsidRPr="00600D16">
        <w:rPr>
          <w:rtl/>
          <w:lang w:eastAsia="he-IL"/>
        </w:rPr>
        <w:t>תקופת השיתוף הינה מיום הנישואין</w:t>
      </w:r>
      <w:r w:rsidR="00B27F69">
        <w:rPr>
          <w:rFonts w:hint="cs"/>
          <w:rtl/>
          <w:lang w:eastAsia="he-IL"/>
        </w:rPr>
        <w:t xml:space="preserve"> 18.02.2006</w:t>
      </w:r>
      <w:r w:rsidRPr="00600D16">
        <w:rPr>
          <w:rtl/>
          <w:lang w:eastAsia="he-IL"/>
        </w:rPr>
        <w:t xml:space="preserve"> ועד מועד הקרע</w:t>
      </w:r>
      <w:r>
        <w:rPr>
          <w:rFonts w:hint="cs"/>
          <w:rtl/>
          <w:lang w:eastAsia="he-IL"/>
        </w:rPr>
        <w:t xml:space="preserve"> </w:t>
      </w:r>
      <w:r w:rsidR="007E581E">
        <w:rPr>
          <w:rFonts w:hint="cs"/>
          <w:rtl/>
          <w:lang w:eastAsia="he-IL"/>
        </w:rPr>
        <w:t>-</w:t>
      </w:r>
      <w:r>
        <w:rPr>
          <w:rFonts w:hint="cs"/>
          <w:rtl/>
          <w:lang w:eastAsia="he-IL"/>
        </w:rPr>
        <w:t xml:space="preserve"> 14.5.2024</w:t>
      </w:r>
      <w:r w:rsidRPr="00600D16">
        <w:rPr>
          <w:rtl/>
          <w:lang w:eastAsia="he-IL"/>
        </w:rPr>
        <w:t xml:space="preserve"> ה</w:t>
      </w:r>
      <w:r>
        <w:rPr>
          <w:rtl/>
          <w:lang w:eastAsia="he-IL"/>
        </w:rPr>
        <w:t>אישה</w:t>
      </w:r>
      <w:r w:rsidRPr="00600D16">
        <w:rPr>
          <w:rtl/>
          <w:lang w:eastAsia="he-IL"/>
        </w:rPr>
        <w:t xml:space="preserve"> תהיה רשאית לקבל צווי גילוי מסמכים לשלושה חודשים לאחר מועד הקרע. </w:t>
      </w:r>
    </w:p>
    <w:p w14:paraId="4A0AE7DF" w14:textId="63D92877" w:rsidR="005D5CA3" w:rsidRPr="00600D16" w:rsidRDefault="005D5CA3" w:rsidP="005D5CA3">
      <w:pPr>
        <w:pStyle w:val="aa"/>
        <w:rPr>
          <w:lang w:eastAsia="he-IL"/>
        </w:rPr>
      </w:pPr>
      <w:r>
        <w:rPr>
          <w:rFonts w:hint="cs"/>
          <w:rtl/>
          <w:lang w:eastAsia="he-IL"/>
        </w:rPr>
        <w:t xml:space="preserve">ט. </w:t>
      </w:r>
      <w:r w:rsidRPr="00600D16">
        <w:rPr>
          <w:rtl/>
          <w:lang w:eastAsia="he-IL"/>
        </w:rPr>
        <w:t>ביה"ד ייתן הערת אזהרה לטובת ה</w:t>
      </w:r>
      <w:r>
        <w:rPr>
          <w:rtl/>
          <w:lang w:eastAsia="he-IL"/>
        </w:rPr>
        <w:t>אישה</w:t>
      </w:r>
      <w:r w:rsidRPr="00600D16">
        <w:rPr>
          <w:rtl/>
          <w:lang w:eastAsia="he-IL"/>
        </w:rPr>
        <w:t xml:space="preserve"> על 32% מהזכויות בדירה לצורך הגשת ערעור להבטחת פס"ד של ביה"ד הגדול במ</w:t>
      </w:r>
      <w:r>
        <w:rPr>
          <w:rFonts w:hint="cs"/>
          <w:rtl/>
          <w:lang w:eastAsia="he-IL"/>
        </w:rPr>
        <w:t>יד</w:t>
      </w:r>
      <w:r w:rsidRPr="00600D16">
        <w:rPr>
          <w:rtl/>
          <w:lang w:eastAsia="he-IL"/>
        </w:rPr>
        <w:t>ה ויוגש ערעור. תוקף הערת האזהרה ל</w:t>
      </w:r>
      <w:r>
        <w:rPr>
          <w:rFonts w:hint="cs"/>
          <w:rtl/>
          <w:lang w:eastAsia="he-IL"/>
        </w:rPr>
        <w:t>-</w:t>
      </w:r>
      <w:r w:rsidRPr="00600D16">
        <w:rPr>
          <w:rtl/>
          <w:lang w:eastAsia="he-IL"/>
        </w:rPr>
        <w:t xml:space="preserve">4 חודשים. </w:t>
      </w:r>
    </w:p>
    <w:p w14:paraId="1F6E3CE4" w14:textId="153C967F" w:rsidR="005D5CA3" w:rsidRPr="00600D16" w:rsidRDefault="005D5CA3" w:rsidP="005D5CA3">
      <w:pPr>
        <w:pStyle w:val="aa"/>
        <w:rPr>
          <w:lang w:eastAsia="he-IL"/>
        </w:rPr>
      </w:pPr>
      <w:r>
        <w:rPr>
          <w:rFonts w:hint="cs"/>
          <w:rtl/>
          <w:lang w:eastAsia="he-IL"/>
        </w:rPr>
        <w:t xml:space="preserve">י. </w:t>
      </w:r>
      <w:r w:rsidRPr="00600D16">
        <w:rPr>
          <w:rtl/>
          <w:lang w:eastAsia="he-IL"/>
        </w:rPr>
        <w:t>הבעל יעביר ל</w:t>
      </w:r>
      <w:r>
        <w:rPr>
          <w:rtl/>
          <w:lang w:eastAsia="he-IL"/>
        </w:rPr>
        <w:t>אישה</w:t>
      </w:r>
      <w:r w:rsidRPr="00600D16">
        <w:rPr>
          <w:rtl/>
          <w:lang w:eastAsia="he-IL"/>
        </w:rPr>
        <w:t xml:space="preserve"> סכום של 841,500 </w:t>
      </w:r>
      <w:r>
        <w:rPr>
          <w:rtl/>
          <w:lang w:eastAsia="he-IL"/>
        </w:rPr>
        <w:t>ש"ח</w:t>
      </w:r>
      <w:r w:rsidRPr="00600D16">
        <w:rPr>
          <w:rtl/>
          <w:lang w:eastAsia="he-IL"/>
        </w:rPr>
        <w:t xml:space="preserve"> תוך עשרה ימים. ביה"ד יוציא פסיקתא להוראה לרישום הנכס על שם הבעל, לאחר הצגת רישום הערת אזהרה על סך 32% לטובת ה</w:t>
      </w:r>
      <w:r>
        <w:rPr>
          <w:rtl/>
          <w:lang w:eastAsia="he-IL"/>
        </w:rPr>
        <w:t>אישה</w:t>
      </w:r>
      <w:r w:rsidRPr="00600D16">
        <w:rPr>
          <w:rtl/>
          <w:lang w:eastAsia="he-IL"/>
        </w:rPr>
        <w:t xml:space="preserve"> לתוקף ל4 חודשים. </w:t>
      </w:r>
    </w:p>
    <w:p w14:paraId="6322B95D" w14:textId="1CF23786" w:rsidR="005D5CA3" w:rsidRPr="00600D16" w:rsidRDefault="005D5CA3" w:rsidP="005D5CA3">
      <w:pPr>
        <w:pStyle w:val="aa"/>
        <w:rPr>
          <w:lang w:eastAsia="he-IL"/>
        </w:rPr>
      </w:pPr>
      <w:r>
        <w:rPr>
          <w:rFonts w:hint="cs"/>
          <w:rtl/>
          <w:lang w:eastAsia="he-IL"/>
        </w:rPr>
        <w:t xml:space="preserve">יא. </w:t>
      </w:r>
      <w:r w:rsidRPr="00600D16">
        <w:rPr>
          <w:rtl/>
          <w:lang w:eastAsia="he-IL"/>
        </w:rPr>
        <w:t>אם הכסף לא יועבר במועדו, הדירה לא תרשם על שם הבעל, וה</w:t>
      </w:r>
      <w:r>
        <w:rPr>
          <w:rtl/>
          <w:lang w:eastAsia="he-IL"/>
        </w:rPr>
        <w:t>אישה</w:t>
      </w:r>
      <w:r w:rsidRPr="00600D16">
        <w:rPr>
          <w:rtl/>
          <w:lang w:eastAsia="he-IL"/>
        </w:rPr>
        <w:t xml:space="preserve"> לא מחויבת לעזוב את הדירה.</w:t>
      </w:r>
    </w:p>
    <w:p w14:paraId="462E0A03" w14:textId="31131650" w:rsidR="005D5CA3" w:rsidRPr="00600D16" w:rsidRDefault="005D5CA3" w:rsidP="005D5CA3">
      <w:pPr>
        <w:pStyle w:val="aa"/>
        <w:rPr>
          <w:lang w:eastAsia="he-IL"/>
        </w:rPr>
      </w:pPr>
      <w:proofErr w:type="spellStart"/>
      <w:r>
        <w:rPr>
          <w:rFonts w:hint="cs"/>
          <w:rtl/>
          <w:lang w:eastAsia="he-IL"/>
        </w:rPr>
        <w:t>יב</w:t>
      </w:r>
      <w:proofErr w:type="spellEnd"/>
      <w:r>
        <w:rPr>
          <w:rFonts w:hint="cs"/>
          <w:rtl/>
          <w:lang w:eastAsia="he-IL"/>
        </w:rPr>
        <w:t xml:space="preserve">. </w:t>
      </w:r>
      <w:r w:rsidRPr="00600D16">
        <w:rPr>
          <w:rtl/>
          <w:lang w:eastAsia="he-IL"/>
        </w:rPr>
        <w:t>תוך</w:t>
      </w:r>
      <w:r>
        <w:rPr>
          <w:rtl/>
          <w:lang w:eastAsia="he-IL"/>
        </w:rPr>
        <w:t xml:space="preserve"> </w:t>
      </w:r>
      <w:r w:rsidRPr="00600D16">
        <w:rPr>
          <w:rtl/>
          <w:lang w:eastAsia="he-IL"/>
        </w:rPr>
        <w:t>30 יום מהיום על ה</w:t>
      </w:r>
      <w:r>
        <w:rPr>
          <w:rtl/>
          <w:lang w:eastAsia="he-IL"/>
        </w:rPr>
        <w:t>אישה</w:t>
      </w:r>
      <w:r w:rsidRPr="00600D16">
        <w:rPr>
          <w:rtl/>
          <w:lang w:eastAsia="he-IL"/>
        </w:rPr>
        <w:t xml:space="preserve"> לצאת מהבית המשותף. </w:t>
      </w:r>
    </w:p>
    <w:p w14:paraId="6F42FE23" w14:textId="2B533DAE" w:rsidR="005D5CA3" w:rsidRPr="00600D16" w:rsidRDefault="005D5CA3" w:rsidP="005D5CA3">
      <w:pPr>
        <w:pStyle w:val="aa"/>
        <w:rPr>
          <w:lang w:eastAsia="he-IL"/>
        </w:rPr>
      </w:pPr>
      <w:proofErr w:type="spellStart"/>
      <w:r>
        <w:rPr>
          <w:rFonts w:hint="cs"/>
          <w:rtl/>
          <w:lang w:eastAsia="he-IL"/>
        </w:rPr>
        <w:t>יג</w:t>
      </w:r>
      <w:proofErr w:type="spellEnd"/>
      <w:r>
        <w:rPr>
          <w:rFonts w:hint="cs"/>
          <w:rtl/>
          <w:lang w:eastAsia="he-IL"/>
        </w:rPr>
        <w:t xml:space="preserve">. </w:t>
      </w:r>
      <w:r w:rsidRPr="00600D16">
        <w:rPr>
          <w:rtl/>
          <w:lang w:eastAsia="he-IL"/>
        </w:rPr>
        <w:t>פס"ד זה דינו כצו פינוי.</w:t>
      </w:r>
      <w:r>
        <w:rPr>
          <w:rtl/>
          <w:lang w:eastAsia="he-IL"/>
        </w:rPr>
        <w:t xml:space="preserve"> </w:t>
      </w:r>
    </w:p>
    <w:p w14:paraId="781C77E0" w14:textId="24E75493" w:rsidR="005D5CA3" w:rsidRPr="00600D16" w:rsidRDefault="005D5CA3" w:rsidP="005D5CA3">
      <w:pPr>
        <w:pStyle w:val="aa"/>
        <w:rPr>
          <w:lang w:eastAsia="he-IL"/>
        </w:rPr>
      </w:pPr>
      <w:r>
        <w:rPr>
          <w:rFonts w:hint="cs"/>
          <w:rtl/>
          <w:lang w:eastAsia="he-IL"/>
        </w:rPr>
        <w:t xml:space="preserve">יד. </w:t>
      </w:r>
      <w:r w:rsidRPr="00600D16">
        <w:rPr>
          <w:rtl/>
          <w:lang w:eastAsia="he-IL"/>
        </w:rPr>
        <w:t>זכותה של ה</w:t>
      </w:r>
      <w:r>
        <w:rPr>
          <w:rtl/>
          <w:lang w:eastAsia="he-IL"/>
        </w:rPr>
        <w:t>אישה</w:t>
      </w:r>
      <w:r w:rsidRPr="00600D16">
        <w:rPr>
          <w:rtl/>
          <w:lang w:eastAsia="he-IL"/>
        </w:rPr>
        <w:t xml:space="preserve"> לכתובה</w:t>
      </w:r>
      <w:r w:rsidR="007E581E">
        <w:rPr>
          <w:rFonts w:hint="cs"/>
          <w:rtl/>
          <w:lang w:eastAsia="he-IL"/>
        </w:rPr>
        <w:t>,</w:t>
      </w:r>
      <w:r w:rsidRPr="00600D16">
        <w:rPr>
          <w:rtl/>
          <w:lang w:eastAsia="he-IL"/>
        </w:rPr>
        <w:t xml:space="preserve"> במידה וקיימת, נכללה בזכויות שה</w:t>
      </w:r>
      <w:r>
        <w:rPr>
          <w:rtl/>
          <w:lang w:eastAsia="he-IL"/>
        </w:rPr>
        <w:t>אישה</w:t>
      </w:r>
      <w:r w:rsidRPr="00600D16">
        <w:rPr>
          <w:rtl/>
          <w:lang w:eastAsia="he-IL"/>
        </w:rPr>
        <w:t xml:space="preserve"> מקבלת במסגרת איזון המשאבים.</w:t>
      </w:r>
      <w:r>
        <w:rPr>
          <w:rFonts w:hint="cs"/>
          <w:rtl/>
          <w:lang w:eastAsia="he-IL"/>
        </w:rPr>
        <w:t>"</w:t>
      </w:r>
    </w:p>
    <w:p w14:paraId="772FD39E" w14:textId="77777777" w:rsidR="005D5CA3" w:rsidRDefault="005D5CA3" w:rsidP="005D5CA3">
      <w:pPr>
        <w:pStyle w:val="af"/>
        <w:rPr>
          <w:rtl/>
          <w:lang w:eastAsia="he-IL"/>
        </w:rPr>
      </w:pPr>
      <w:r>
        <w:rPr>
          <w:rFonts w:hint="cs"/>
          <w:rtl/>
          <w:lang w:eastAsia="he-IL"/>
        </w:rPr>
        <w:t xml:space="preserve">למעשה הסעיפים העוסקים בחלוקת הדירה, הינם פועל יוצא של החלטת ביה"ד בהרכב קמא. </w:t>
      </w:r>
    </w:p>
    <w:p w14:paraId="00D64F5C" w14:textId="13AA0BFF" w:rsidR="005D5CA3" w:rsidRDefault="005D5CA3" w:rsidP="005D5CA3">
      <w:pPr>
        <w:pStyle w:val="af"/>
        <w:rPr>
          <w:rtl/>
          <w:lang w:eastAsia="he-IL"/>
        </w:rPr>
      </w:pPr>
      <w:r>
        <w:rPr>
          <w:rFonts w:hint="cs"/>
          <w:rtl/>
          <w:lang w:eastAsia="he-IL"/>
        </w:rPr>
        <w:t>המערערת מבקשת לערער על סעיפים י</w:t>
      </w:r>
      <w:r w:rsidR="007E581E">
        <w:rPr>
          <w:rFonts w:hint="cs"/>
          <w:rtl/>
          <w:lang w:eastAsia="he-IL"/>
        </w:rPr>
        <w:t>'</w:t>
      </w:r>
      <w:r>
        <w:rPr>
          <w:rFonts w:hint="cs"/>
          <w:rtl/>
          <w:lang w:eastAsia="he-IL"/>
        </w:rPr>
        <w:t xml:space="preserve"> - </w:t>
      </w:r>
      <w:proofErr w:type="spellStart"/>
      <w:r>
        <w:rPr>
          <w:rFonts w:hint="cs"/>
          <w:rtl/>
          <w:lang w:eastAsia="he-IL"/>
        </w:rPr>
        <w:t>יג</w:t>
      </w:r>
      <w:proofErr w:type="spellEnd"/>
      <w:r>
        <w:rPr>
          <w:rFonts w:hint="cs"/>
          <w:rtl/>
          <w:lang w:eastAsia="he-IL"/>
        </w:rPr>
        <w:t xml:space="preserve"> להחלטה הנ"ל, בטענה שההסכם עליו מתבססת ההחלטה, לא אושר בכל ערכאה, וכי היה סיכום בע</w:t>
      </w:r>
      <w:r w:rsidR="00B27F69">
        <w:rPr>
          <w:rFonts w:hint="cs"/>
          <w:rtl/>
          <w:lang w:eastAsia="he-IL"/>
        </w:rPr>
        <w:t>ל פה</w:t>
      </w:r>
      <w:r>
        <w:rPr>
          <w:rFonts w:hint="cs"/>
          <w:rtl/>
          <w:lang w:eastAsia="he-IL"/>
        </w:rPr>
        <w:t xml:space="preserve"> להגדלת האחוזים של המערערת בדירה, מידי שנה, תוספת של 2% עבור כל שנת נישואין.</w:t>
      </w:r>
    </w:p>
    <w:p w14:paraId="38AF32BF" w14:textId="470D290F" w:rsidR="005D5CA3" w:rsidRPr="001E7AE3" w:rsidRDefault="00B27F69" w:rsidP="005D5CA3">
      <w:pPr>
        <w:pStyle w:val="-0"/>
        <w:rPr>
          <w:rtl/>
          <w:lang w:eastAsia="he-IL"/>
        </w:rPr>
      </w:pPr>
      <w:r>
        <w:rPr>
          <w:rFonts w:hint="cs"/>
          <w:rtl/>
          <w:lang w:eastAsia="he-IL"/>
        </w:rPr>
        <w:lastRenderedPageBreak/>
        <w:t xml:space="preserve">דיון </w:t>
      </w:r>
      <w:r w:rsidR="005D5CA3" w:rsidRPr="001E7AE3">
        <w:rPr>
          <w:rFonts w:hint="cs"/>
          <w:rtl/>
          <w:lang w:eastAsia="he-IL"/>
        </w:rPr>
        <w:t>הכרעה</w:t>
      </w:r>
    </w:p>
    <w:p w14:paraId="343A9750" w14:textId="48A0D0C3" w:rsidR="005D5CA3" w:rsidRDefault="005D5CA3" w:rsidP="005D5CA3">
      <w:pPr>
        <w:pStyle w:val="ae"/>
        <w:rPr>
          <w:rtl/>
        </w:rPr>
      </w:pPr>
      <w:r>
        <w:rPr>
          <w:rFonts w:hint="cs"/>
          <w:rtl/>
        </w:rPr>
        <w:t xml:space="preserve">לאחר שמיעת דברי הצדדים וב"כ ולאחר העיון הראוי בכל החומר שבתיק כמו גם בכלל ההחלטות של ביה"ד קמא </w:t>
      </w:r>
      <w:r w:rsidR="007E581E">
        <w:rPr>
          <w:rFonts w:hint="cs"/>
          <w:rtl/>
        </w:rPr>
        <w:t>-</w:t>
      </w:r>
      <w:r>
        <w:rPr>
          <w:rFonts w:hint="cs"/>
          <w:rtl/>
        </w:rPr>
        <w:t xml:space="preserve"> </w:t>
      </w:r>
      <w:r w:rsidRPr="005D5CA3">
        <w:rPr>
          <w:rFonts w:hint="cs"/>
          <w:b/>
          <w:bCs/>
          <w:rtl/>
        </w:rPr>
        <w:t>קובע ביה"ד בזאת כי דין הערעור להידחות</w:t>
      </w:r>
      <w:r>
        <w:rPr>
          <w:rFonts w:hint="cs"/>
          <w:rtl/>
        </w:rPr>
        <w:t>.</w:t>
      </w:r>
    </w:p>
    <w:p w14:paraId="46CBB9C5" w14:textId="08BC54E6" w:rsidR="005D5CA3" w:rsidRDefault="005D5CA3" w:rsidP="005D5CA3">
      <w:pPr>
        <w:pStyle w:val="af"/>
        <w:rPr>
          <w:rtl/>
          <w:lang w:eastAsia="he-IL"/>
        </w:rPr>
      </w:pPr>
      <w:r>
        <w:rPr>
          <w:rFonts w:hint="cs"/>
          <w:rtl/>
          <w:lang w:eastAsia="he-IL"/>
        </w:rPr>
        <w:t xml:space="preserve">ידועה הלכת גמליאל </w:t>
      </w:r>
      <w:r w:rsidRPr="00680C45">
        <w:rPr>
          <w:rFonts w:hint="cs"/>
          <w:sz w:val="24"/>
          <w:szCs w:val="24"/>
          <w:rtl/>
          <w:lang w:eastAsia="he-IL"/>
        </w:rPr>
        <w:t>(שתובא להלן)</w:t>
      </w:r>
      <w:r>
        <w:rPr>
          <w:rFonts w:hint="cs"/>
          <w:rtl/>
          <w:lang w:eastAsia="he-IL"/>
        </w:rPr>
        <w:t xml:space="preserve">, לפיה הסכם המתייחס לנכס מסוים, שמוציאים אותו ממעגל איזון המשאבים, יכול שלא יאושר בערכאה שיפוטית. </w:t>
      </w:r>
    </w:p>
    <w:p w14:paraId="10A28F04" w14:textId="77777777" w:rsidR="005D5CA3" w:rsidRDefault="005D5CA3" w:rsidP="005D5CA3">
      <w:pPr>
        <w:pStyle w:val="af"/>
        <w:rPr>
          <w:rtl/>
          <w:lang w:eastAsia="he-IL"/>
        </w:rPr>
      </w:pPr>
      <w:r>
        <w:rPr>
          <w:rFonts w:hint="cs"/>
          <w:rtl/>
          <w:lang w:eastAsia="he-IL"/>
        </w:rPr>
        <w:t>יש חילוק בין הסכם המתייחס לנכס ספציפי, לבין הסכם כלכלי כולל.</w:t>
      </w:r>
    </w:p>
    <w:p w14:paraId="475534C4" w14:textId="77777777" w:rsidR="005D5CA3" w:rsidRDefault="005D5CA3" w:rsidP="005D5CA3">
      <w:pPr>
        <w:pStyle w:val="af"/>
        <w:rPr>
          <w:rtl/>
          <w:lang w:eastAsia="he-IL"/>
        </w:rPr>
      </w:pPr>
      <w:r>
        <w:rPr>
          <w:rFonts w:hint="cs"/>
          <w:rtl/>
          <w:lang w:eastAsia="he-IL"/>
        </w:rPr>
        <w:t xml:space="preserve">אמנם </w:t>
      </w:r>
      <w:proofErr w:type="spellStart"/>
      <w:r w:rsidRPr="00B04C06">
        <w:rPr>
          <w:rtl/>
          <w:lang w:eastAsia="he-IL"/>
        </w:rPr>
        <w:t>בבע"מ</w:t>
      </w:r>
      <w:proofErr w:type="spellEnd"/>
      <w:r w:rsidRPr="00B04C06">
        <w:rPr>
          <w:rtl/>
          <w:lang w:eastAsia="he-IL"/>
        </w:rPr>
        <w:t xml:space="preserve"> 5142/10 </w:t>
      </w:r>
      <w:r w:rsidRPr="00680C45">
        <w:rPr>
          <w:b/>
          <w:bCs/>
          <w:sz w:val="24"/>
          <w:szCs w:val="24"/>
          <w:rtl/>
          <w:lang w:eastAsia="he-IL"/>
        </w:rPr>
        <w:t>(פלונית נ' פלוני</w:t>
      </w:r>
      <w:r w:rsidRPr="00680C45">
        <w:rPr>
          <w:sz w:val="24"/>
          <w:szCs w:val="24"/>
          <w:rtl/>
          <w:lang w:eastAsia="he-IL"/>
        </w:rPr>
        <w:t>)</w:t>
      </w:r>
      <w:r w:rsidRPr="00B04C06">
        <w:rPr>
          <w:rtl/>
          <w:lang w:eastAsia="he-IL"/>
        </w:rPr>
        <w:t xml:space="preserve">, </w:t>
      </w:r>
      <w:r>
        <w:rPr>
          <w:rFonts w:hint="cs"/>
          <w:rtl/>
          <w:lang w:eastAsia="he-IL"/>
        </w:rPr>
        <w:t>סברה השופטת בן פורת, שאין לחלק בין נכס יחיד להסכם כולל, אלא כל הסכם הצופה פני גירושין, צריך להיות מאושר בערכאה שיפוטית</w:t>
      </w:r>
      <w:r w:rsidRPr="00B04C06">
        <w:rPr>
          <w:rtl/>
          <w:lang w:eastAsia="he-IL"/>
        </w:rPr>
        <w:t>:</w:t>
      </w:r>
    </w:p>
    <w:p w14:paraId="2AD61267" w14:textId="14C35029" w:rsidR="005D5CA3" w:rsidRPr="00B04C06" w:rsidRDefault="005D5CA3" w:rsidP="005D5CA3">
      <w:pPr>
        <w:pStyle w:val="aa"/>
        <w:rPr>
          <w:rtl/>
          <w:lang w:eastAsia="he-IL"/>
        </w:rPr>
      </w:pPr>
      <w:r>
        <w:rPr>
          <w:rFonts w:hint="cs"/>
          <w:rtl/>
          <w:lang w:eastAsia="he-IL"/>
        </w:rPr>
        <w:t>"</w:t>
      </w:r>
      <w:r w:rsidRPr="00B04C06">
        <w:rPr>
          <w:rtl/>
          <w:lang w:eastAsia="he-IL"/>
        </w:rPr>
        <w:t>בע"א 169/83 שרעבי נ' שרעבי כתבה המשנה לנשיא, בן פורת: 'סיכומה של השקפתי הוא, שהמבחן, אם הסכם פלוני בין בני הזוג הוא 'הסכם ממון' אם לאו, טמון במטרתו</w:t>
      </w:r>
      <w:r>
        <w:rPr>
          <w:rFonts w:hint="cs"/>
          <w:rtl/>
          <w:lang w:eastAsia="he-IL"/>
        </w:rPr>
        <w:t xml:space="preserve"> [</w:t>
      </w:r>
      <w:r>
        <w:rPr>
          <w:rtl/>
          <w:lang w:eastAsia="he-IL"/>
        </w:rPr>
        <w:t>.</w:t>
      </w:r>
      <w:r w:rsidRPr="00B04C06">
        <w:rPr>
          <w:rtl/>
          <w:lang w:eastAsia="he-IL"/>
        </w:rPr>
        <w:t>..</w:t>
      </w:r>
      <w:r>
        <w:rPr>
          <w:rFonts w:hint="cs"/>
          <w:rtl/>
          <w:lang w:eastAsia="he-IL"/>
        </w:rPr>
        <w:t>]</w:t>
      </w:r>
      <w:r>
        <w:rPr>
          <w:rtl/>
          <w:lang w:eastAsia="he-IL"/>
        </w:rPr>
        <w:t xml:space="preserve"> </w:t>
      </w:r>
      <w:r w:rsidRPr="00B04C06">
        <w:rPr>
          <w:rtl/>
          <w:lang w:eastAsia="he-IL"/>
        </w:rPr>
        <w:t>לדעתי לא כלליותו של ההסכם, או היותו מתי</w:t>
      </w:r>
      <w:r>
        <w:rPr>
          <w:rFonts w:hint="cs"/>
          <w:rtl/>
          <w:lang w:eastAsia="he-IL"/>
        </w:rPr>
        <w:t>י</w:t>
      </w:r>
      <w:r w:rsidRPr="00B04C06">
        <w:rPr>
          <w:rtl/>
          <w:lang w:eastAsia="he-IL"/>
        </w:rPr>
        <w:t xml:space="preserve">חס </w:t>
      </w:r>
      <w:r w:rsidRPr="00680C45">
        <w:rPr>
          <w:sz w:val="24"/>
          <w:szCs w:val="24"/>
          <w:rtl/>
          <w:lang w:eastAsia="he-IL"/>
        </w:rPr>
        <w:t>(למשל)</w:t>
      </w:r>
      <w:r w:rsidRPr="00B04C06">
        <w:rPr>
          <w:rtl/>
          <w:lang w:eastAsia="he-IL"/>
        </w:rPr>
        <w:t xml:space="preserve"> לנכס בודד מני רבים, הוא המבחן הקובע, כי אם התי</w:t>
      </w:r>
      <w:r>
        <w:rPr>
          <w:rFonts w:hint="cs"/>
          <w:rtl/>
          <w:lang w:eastAsia="he-IL"/>
        </w:rPr>
        <w:t>י</w:t>
      </w:r>
      <w:r w:rsidRPr="00B04C06">
        <w:rPr>
          <w:rtl/>
          <w:lang w:eastAsia="he-IL"/>
        </w:rPr>
        <w:t>חסותו ליחסי הרכוש בין בני הזוג למקרה של פקיעת הנישואין או של מות אחד מהם'.</w:t>
      </w:r>
    </w:p>
    <w:p w14:paraId="718CD308" w14:textId="77777777" w:rsidR="005D5CA3" w:rsidRPr="00B04C06" w:rsidRDefault="005D5CA3" w:rsidP="005D5CA3">
      <w:pPr>
        <w:pStyle w:val="aa"/>
        <w:rPr>
          <w:rtl/>
          <w:lang w:eastAsia="he-IL"/>
        </w:rPr>
      </w:pPr>
      <w:r w:rsidRPr="00B04C06">
        <w:rPr>
          <w:rtl/>
          <w:lang w:eastAsia="he-IL"/>
        </w:rPr>
        <w:t xml:space="preserve">הבחנה זו בין הסכמים צופי פני פירוד, להסכמים כלכליים "רגילים", חוזרת כחוט השני בפסיקתו של בית משפט זה </w:t>
      </w:r>
      <w:r w:rsidRPr="00680C45">
        <w:rPr>
          <w:sz w:val="24"/>
          <w:szCs w:val="24"/>
          <w:rtl/>
          <w:lang w:eastAsia="he-IL"/>
        </w:rPr>
        <w:t xml:space="preserve">(ראו, בין היתר, ע"א 7388/97 עיזבון המנוח משה שמיר נ' דולב (שמיר), פ"ד </w:t>
      </w:r>
      <w:proofErr w:type="spellStart"/>
      <w:r w:rsidRPr="00680C45">
        <w:rPr>
          <w:sz w:val="24"/>
          <w:szCs w:val="24"/>
          <w:rtl/>
          <w:lang w:eastAsia="he-IL"/>
        </w:rPr>
        <w:t>נג</w:t>
      </w:r>
      <w:proofErr w:type="spellEnd"/>
      <w:r w:rsidRPr="00680C45">
        <w:rPr>
          <w:sz w:val="24"/>
          <w:szCs w:val="24"/>
          <w:rtl/>
          <w:lang w:eastAsia="he-IL"/>
        </w:rPr>
        <w:t xml:space="preserve">(1) 596; ע"א 5709/99 זיוה לוין נ' גד </w:t>
      </w:r>
      <w:proofErr w:type="spellStart"/>
      <w:r w:rsidRPr="00680C45">
        <w:rPr>
          <w:sz w:val="24"/>
          <w:szCs w:val="24"/>
          <w:rtl/>
          <w:lang w:eastAsia="he-IL"/>
        </w:rPr>
        <w:t>שילר</w:t>
      </w:r>
      <w:proofErr w:type="spellEnd"/>
      <w:r w:rsidRPr="00680C45">
        <w:rPr>
          <w:sz w:val="24"/>
          <w:szCs w:val="24"/>
          <w:rtl/>
          <w:lang w:eastAsia="he-IL"/>
        </w:rPr>
        <w:t xml:space="preserve"> עו"ד, פ"ד </w:t>
      </w:r>
      <w:proofErr w:type="spellStart"/>
      <w:r w:rsidRPr="00680C45">
        <w:rPr>
          <w:sz w:val="24"/>
          <w:szCs w:val="24"/>
          <w:rtl/>
          <w:lang w:eastAsia="he-IL"/>
        </w:rPr>
        <w:t>נה</w:t>
      </w:r>
      <w:proofErr w:type="spellEnd"/>
      <w:r w:rsidRPr="00680C45">
        <w:rPr>
          <w:sz w:val="24"/>
          <w:szCs w:val="24"/>
          <w:rtl/>
          <w:lang w:eastAsia="he-IL"/>
        </w:rPr>
        <w:t>(4) 925, 948; בג"צ 10605/02 גמליאל נ' בית הדין הרבני הגדול, פ"ד נח(2) 529; ע"א 7687/04 ששון נ' ששון, פ"ד נט(5) 596, 612)</w:t>
      </w:r>
      <w:r w:rsidRPr="00680C45">
        <w:rPr>
          <w:rFonts w:hint="cs"/>
          <w:sz w:val="24"/>
          <w:szCs w:val="24"/>
          <w:rtl/>
          <w:lang w:eastAsia="he-IL"/>
        </w:rPr>
        <w:t>.</w:t>
      </w:r>
      <w:r>
        <w:rPr>
          <w:rFonts w:hint="cs"/>
          <w:rtl/>
          <w:lang w:eastAsia="he-IL"/>
        </w:rPr>
        <w:t>"</w:t>
      </w:r>
    </w:p>
    <w:p w14:paraId="12C8E81A" w14:textId="3C11B1E1" w:rsidR="005D5CA3" w:rsidRDefault="005D5CA3" w:rsidP="005D5CA3">
      <w:pPr>
        <w:pStyle w:val="af"/>
        <w:rPr>
          <w:rtl/>
          <w:lang w:eastAsia="he-IL"/>
        </w:rPr>
      </w:pPr>
      <w:r w:rsidRPr="00B04C06">
        <w:rPr>
          <w:rtl/>
          <w:lang w:eastAsia="he-IL"/>
        </w:rPr>
        <w:t xml:space="preserve">בפרשת גמליאל </w:t>
      </w:r>
      <w:r w:rsidRPr="00680C45">
        <w:rPr>
          <w:sz w:val="24"/>
          <w:szCs w:val="24"/>
          <w:rtl/>
          <w:lang w:eastAsia="he-IL"/>
        </w:rPr>
        <w:t>(בג"ץ 10605/02,</w:t>
      </w:r>
      <w:r w:rsidRPr="00680C45">
        <w:rPr>
          <w:b/>
          <w:bCs/>
          <w:sz w:val="24"/>
          <w:szCs w:val="24"/>
          <w:rtl/>
          <w:lang w:eastAsia="he-IL"/>
        </w:rPr>
        <w:t xml:space="preserve"> </w:t>
      </w:r>
      <w:r w:rsidRPr="00680C45">
        <w:rPr>
          <w:sz w:val="24"/>
          <w:szCs w:val="24"/>
          <w:rtl/>
          <w:lang w:eastAsia="he-IL"/>
        </w:rPr>
        <w:t>גמליאל נ' בית-הדין הרבני הגדול</w:t>
      </w:r>
      <w:r w:rsidRPr="00680C45">
        <w:rPr>
          <w:rFonts w:hint="cs"/>
          <w:sz w:val="24"/>
          <w:szCs w:val="24"/>
          <w:rtl/>
          <w:lang w:eastAsia="he-IL"/>
        </w:rPr>
        <w:t>, מפי השופטת חיות</w:t>
      </w:r>
      <w:r w:rsidRPr="00680C45">
        <w:rPr>
          <w:sz w:val="24"/>
          <w:szCs w:val="24"/>
          <w:rtl/>
          <w:lang w:eastAsia="he-IL"/>
        </w:rPr>
        <w:t>)</w:t>
      </w:r>
      <w:r w:rsidRPr="00B04C06">
        <w:rPr>
          <w:rtl/>
          <w:lang w:eastAsia="he-IL"/>
        </w:rPr>
        <w:t xml:space="preserve"> פסק ביהמ"ש העליון כי יש להכיר בהסכם שלא אושר בנסיבות בהן הוא מוציא נכס מסוים ממעגל איזון המשאבים. וכך נכתב:</w:t>
      </w:r>
    </w:p>
    <w:p w14:paraId="407CDB27" w14:textId="0869E714" w:rsidR="005D5CA3" w:rsidRPr="00B04C06" w:rsidRDefault="005D5CA3" w:rsidP="005D5CA3">
      <w:pPr>
        <w:pStyle w:val="aa"/>
        <w:rPr>
          <w:rtl/>
          <w:lang w:eastAsia="he-IL"/>
        </w:rPr>
      </w:pPr>
      <w:r>
        <w:rPr>
          <w:rFonts w:hint="cs"/>
          <w:rtl/>
          <w:lang w:eastAsia="he-IL"/>
        </w:rPr>
        <w:t>"</w:t>
      </w:r>
      <w:r w:rsidRPr="00B04C06">
        <w:rPr>
          <w:rtl/>
          <w:lang w:eastAsia="he-IL"/>
        </w:rPr>
        <w:t xml:space="preserve">הסכם ממון איננו ההסדר האפשרי היחיד </w:t>
      </w:r>
      <w:r w:rsidRPr="007E581E">
        <w:rPr>
          <w:color w:val="auto"/>
          <w:rtl/>
          <w:lang w:eastAsia="he-IL"/>
        </w:rPr>
        <w:t>ש</w:t>
      </w:r>
      <w:hyperlink r:id="rId7" w:history="1">
        <w:r w:rsidRPr="007E581E">
          <w:rPr>
            <w:rStyle w:val="Hyperlink"/>
            <w:color w:val="auto"/>
            <w:u w:val="none"/>
            <w:rtl/>
            <w:lang w:eastAsia="he-IL"/>
          </w:rPr>
          <w:t>חוק יחסי ממון</w:t>
        </w:r>
      </w:hyperlink>
      <w:r w:rsidRPr="007E581E">
        <w:rPr>
          <w:color w:val="auto"/>
          <w:rtl/>
          <w:lang w:eastAsia="he-IL"/>
        </w:rPr>
        <w:t xml:space="preserve"> מתייחס אליו לצורך חלוקת הנכסים בין בני-זוג... מקום שבו אין בנמצא הסכם ממון תקף בין בני-הזוג, מחיל החוק הסדר איזון משאבים, כמפורט </w:t>
      </w:r>
      <w:hyperlink r:id="rId8" w:history="1">
        <w:r w:rsidRPr="007E581E">
          <w:rPr>
            <w:rStyle w:val="Hyperlink"/>
            <w:color w:val="auto"/>
            <w:u w:val="none"/>
            <w:rtl/>
            <w:lang w:eastAsia="he-IL"/>
          </w:rPr>
          <w:t>בפרק השני.</w:t>
        </w:r>
      </w:hyperlink>
      <w:r w:rsidRPr="007E581E">
        <w:rPr>
          <w:color w:val="auto"/>
          <w:rtl/>
          <w:lang w:eastAsia="he-IL"/>
        </w:rPr>
        <w:t xml:space="preserve"> הסדר זה, שהינו יציר הדין, עיקרו – חלוקה שוויונית של כלל הנכסים בין בני-הזוג, אך הוא מאפשר לבני-הזוג להסכים בכתב גם על נכסים </w:t>
      </w:r>
      <w:proofErr w:type="spellStart"/>
      <w:r w:rsidRPr="007E581E">
        <w:rPr>
          <w:color w:val="auto"/>
          <w:rtl/>
          <w:lang w:eastAsia="he-IL"/>
        </w:rPr>
        <w:t>ששוויים</w:t>
      </w:r>
      <w:proofErr w:type="spellEnd"/>
      <w:r w:rsidRPr="007E581E">
        <w:rPr>
          <w:color w:val="auto"/>
          <w:rtl/>
          <w:lang w:eastAsia="he-IL"/>
        </w:rPr>
        <w:t xml:space="preserve"> לא יאוזן ביניהם, כאמור </w:t>
      </w:r>
      <w:hyperlink r:id="rId9" w:history="1">
        <w:r w:rsidRPr="007E581E">
          <w:rPr>
            <w:rStyle w:val="Hyperlink"/>
            <w:color w:val="auto"/>
            <w:u w:val="none"/>
            <w:rtl/>
            <w:lang w:eastAsia="he-IL"/>
          </w:rPr>
          <w:t>בסעיף 5</w:t>
        </w:r>
        <w:r w:rsidRPr="007E581E">
          <w:rPr>
            <w:rStyle w:val="Hyperlink"/>
            <w:color w:val="auto"/>
            <w:sz w:val="24"/>
            <w:szCs w:val="24"/>
            <w:u w:val="none"/>
            <w:rtl/>
            <w:lang w:eastAsia="he-IL"/>
          </w:rPr>
          <w:t>(א)(3)</w:t>
        </w:r>
      </w:hyperlink>
      <w:r w:rsidRPr="007E581E">
        <w:rPr>
          <w:color w:val="auto"/>
          <w:rtl/>
          <w:lang w:eastAsia="he-IL"/>
        </w:rPr>
        <w:t xml:space="preserve">, סיפה... יפים לעניין זה דבריה של המשנה לנשיא </w:t>
      </w:r>
      <w:r w:rsidRPr="007E581E">
        <w:rPr>
          <w:color w:val="auto"/>
          <w:sz w:val="24"/>
          <w:szCs w:val="24"/>
          <w:rtl/>
          <w:lang w:eastAsia="he-IL"/>
        </w:rPr>
        <w:t>(כתוארה אז)</w:t>
      </w:r>
      <w:r w:rsidRPr="007E581E">
        <w:rPr>
          <w:color w:val="auto"/>
          <w:rtl/>
          <w:lang w:eastAsia="he-IL"/>
        </w:rPr>
        <w:t xml:space="preserve"> בן-פורת ב</w:t>
      </w:r>
      <w:hyperlink r:id="rId10" w:history="1">
        <w:r w:rsidRPr="007E581E">
          <w:rPr>
            <w:rStyle w:val="Hyperlink"/>
            <w:color w:val="auto"/>
            <w:u w:val="none"/>
            <w:rtl/>
            <w:lang w:eastAsia="he-IL"/>
          </w:rPr>
          <w:t>ע"א 169/83</w:t>
        </w:r>
      </w:hyperlink>
      <w:r w:rsidRPr="007E581E">
        <w:rPr>
          <w:color w:val="auto"/>
          <w:rtl/>
          <w:lang w:eastAsia="he-IL"/>
        </w:rPr>
        <w:t xml:space="preserve"> </w:t>
      </w:r>
      <w:r w:rsidRPr="00680C45">
        <w:rPr>
          <w:sz w:val="24"/>
          <w:szCs w:val="24"/>
          <w:rtl/>
          <w:lang w:eastAsia="he-IL"/>
        </w:rPr>
        <w:t>(שרעבי</w:t>
      </w:r>
      <w:r w:rsidRPr="00B04C06">
        <w:rPr>
          <w:rtl/>
          <w:lang w:eastAsia="he-IL"/>
        </w:rPr>
        <w:t xml:space="preserve"> </w:t>
      </w:r>
      <w:r w:rsidRPr="008A7D5D">
        <w:rPr>
          <w:sz w:val="24"/>
          <w:szCs w:val="24"/>
          <w:rtl/>
          <w:lang w:eastAsia="he-IL"/>
        </w:rPr>
        <w:t>שי נ' (שרעבי שי</w:t>
      </w:r>
      <w:r w:rsidR="008A7D5D">
        <w:rPr>
          <w:rFonts w:hint="cs"/>
          <w:sz w:val="24"/>
          <w:szCs w:val="24"/>
          <w:rtl/>
          <w:lang w:eastAsia="he-IL"/>
        </w:rPr>
        <w:t>)</w:t>
      </w:r>
      <w:r w:rsidRPr="00B04C06">
        <w:rPr>
          <w:rtl/>
          <w:lang w:eastAsia="he-IL"/>
        </w:rPr>
        <w:t>, באומרה:</w:t>
      </w:r>
    </w:p>
    <w:p w14:paraId="10F0395E" w14:textId="77777777" w:rsidR="005D5CA3" w:rsidRDefault="005D5CA3" w:rsidP="005D5CA3">
      <w:pPr>
        <w:pStyle w:val="af3"/>
        <w:rPr>
          <w:rtl/>
          <w:lang w:eastAsia="he-IL"/>
        </w:rPr>
      </w:pPr>
      <w:r w:rsidRPr="00B04C06">
        <w:rPr>
          <w:rtl/>
          <w:lang w:eastAsia="he-IL"/>
        </w:rPr>
        <w:t xml:space="preserve">"...אין לראות ב'הסכם ממון' את חזות הכול מבחינת יחסי הממון בין בני-זוג, ויש להבדיל הבדל היטב בין 'הסכם ממון' </w:t>
      </w:r>
      <w:r w:rsidRPr="00B04C06">
        <w:rPr>
          <w:lang w:eastAsia="he-IL"/>
        </w:rPr>
        <w:t>–</w:t>
      </w:r>
      <w:r w:rsidRPr="00B04C06">
        <w:rPr>
          <w:rtl/>
          <w:lang w:eastAsia="he-IL"/>
        </w:rPr>
        <w:t xml:space="preserve"> או בהעדרו, המלא או החלקי, בין הפרק השני של החוק המהווה אז את 'הסכם הממון' </w:t>
      </w:r>
      <w:r w:rsidRPr="00B04C06">
        <w:rPr>
          <w:lang w:eastAsia="he-IL"/>
        </w:rPr>
        <w:t>–</w:t>
      </w:r>
      <w:r w:rsidRPr="00B04C06">
        <w:rPr>
          <w:rtl/>
          <w:lang w:eastAsia="he-IL"/>
        </w:rPr>
        <w:t xml:space="preserve"> לבין הסכם רגיל או הענקת מתנה או </w:t>
      </w:r>
      <w:proofErr w:type="spellStart"/>
      <w:r w:rsidRPr="00B04C06">
        <w:rPr>
          <w:rtl/>
          <w:lang w:eastAsia="he-IL"/>
        </w:rPr>
        <w:t>עיסקה</w:t>
      </w:r>
      <w:proofErr w:type="spellEnd"/>
      <w:r w:rsidRPr="00B04C06">
        <w:rPr>
          <w:rtl/>
          <w:lang w:eastAsia="he-IL"/>
        </w:rPr>
        <w:t xml:space="preserve"> אחרת בין בני הזוג במהלך חיי הנישואין לפי הדין הכללי. 'הסכם ממון' חייב להיות דווקא בכתב ולקבל, כתנאי-בלעדיו-אין, את אישורו של בית המשפט כמפורט בחוק ובתקנות שהותקנו על פיו, מה שאין כן בהכרח בהסכם אחר... הנה כי כן, כדי להוציא </w:t>
      </w:r>
      <w:r w:rsidRPr="00680C45">
        <w:rPr>
          <w:sz w:val="24"/>
          <w:szCs w:val="24"/>
          <w:rtl/>
          <w:lang w:eastAsia="he-IL"/>
        </w:rPr>
        <w:t>(למשל)</w:t>
      </w:r>
      <w:r w:rsidRPr="00B04C06">
        <w:rPr>
          <w:rtl/>
          <w:lang w:eastAsia="he-IL"/>
        </w:rPr>
        <w:t xml:space="preserve"> נכס מסוים ממעגל איזון המשאבים, די בהסכם סתם </w:t>
      </w:r>
      <w:r w:rsidRPr="00680C45">
        <w:rPr>
          <w:sz w:val="24"/>
          <w:szCs w:val="24"/>
          <w:rtl/>
          <w:lang w:eastAsia="he-IL"/>
        </w:rPr>
        <w:t>(ללא אישור בית המשפט)</w:t>
      </w:r>
      <w:r w:rsidRPr="00B04C06">
        <w:rPr>
          <w:rtl/>
          <w:lang w:eastAsia="he-IL"/>
        </w:rPr>
        <w:t xml:space="preserve"> כנובע מסעיף 5</w:t>
      </w:r>
      <w:r w:rsidRPr="00680C45">
        <w:rPr>
          <w:sz w:val="24"/>
          <w:szCs w:val="24"/>
          <w:rtl/>
          <w:lang w:eastAsia="he-IL"/>
        </w:rPr>
        <w:t>(א)(3)</w:t>
      </w:r>
      <w:r w:rsidRPr="00B04C06">
        <w:rPr>
          <w:rtl/>
          <w:lang w:eastAsia="he-IL"/>
        </w:rPr>
        <w:t xml:space="preserve"> לחוק...</w:t>
      </w:r>
      <w:r>
        <w:rPr>
          <w:rFonts w:hint="cs"/>
          <w:rtl/>
          <w:lang w:eastAsia="he-IL"/>
        </w:rPr>
        <w:t>"</w:t>
      </w:r>
    </w:p>
    <w:p w14:paraId="6AD58896" w14:textId="0D2A8EF8" w:rsidR="005D5CA3" w:rsidRPr="00B04C06" w:rsidRDefault="005D5CA3" w:rsidP="008A7D5D">
      <w:pPr>
        <w:pStyle w:val="af"/>
        <w:rPr>
          <w:rtl/>
          <w:lang w:eastAsia="he-IL"/>
        </w:rPr>
      </w:pPr>
      <w:r>
        <w:rPr>
          <w:rFonts w:hint="cs"/>
          <w:rtl/>
          <w:lang w:eastAsia="he-IL"/>
        </w:rPr>
        <w:t xml:space="preserve">משכך, </w:t>
      </w:r>
      <w:r w:rsidRPr="00B04C06">
        <w:rPr>
          <w:rtl/>
          <w:lang w:eastAsia="he-IL"/>
        </w:rPr>
        <w:t>בנסיבות מסוימות יש להכיר בהסכמים שנעשו בין בני הזוג</w:t>
      </w:r>
      <w:r>
        <w:rPr>
          <w:rFonts w:hint="cs"/>
          <w:rtl/>
          <w:lang w:eastAsia="he-IL"/>
        </w:rPr>
        <w:t>,</w:t>
      </w:r>
      <w:r w:rsidRPr="00B04C06">
        <w:rPr>
          <w:rtl/>
          <w:lang w:eastAsia="he-IL"/>
        </w:rPr>
        <w:t xml:space="preserve"> אף אם לא אושרו בפני ערכאה שיפוטית.</w:t>
      </w:r>
    </w:p>
    <w:p w14:paraId="1CE5E099" w14:textId="34BB65A2" w:rsidR="005D5CA3" w:rsidRPr="00B04C06" w:rsidRDefault="005D5CA3" w:rsidP="008A7D5D">
      <w:pPr>
        <w:pStyle w:val="af"/>
        <w:rPr>
          <w:rtl/>
          <w:lang w:eastAsia="he-IL"/>
        </w:rPr>
      </w:pPr>
      <w:r>
        <w:rPr>
          <w:rFonts w:hint="cs"/>
          <w:rtl/>
          <w:lang w:eastAsia="he-IL"/>
        </w:rPr>
        <w:t>וראה עוד בהחלטת</w:t>
      </w:r>
      <w:r w:rsidRPr="00B04C06">
        <w:rPr>
          <w:rtl/>
          <w:lang w:eastAsia="he-IL"/>
        </w:rPr>
        <w:t xml:space="preserve"> ביהמ"ש העליון </w:t>
      </w:r>
      <w:proofErr w:type="spellStart"/>
      <w:r w:rsidRPr="00B04C06">
        <w:rPr>
          <w:rtl/>
          <w:lang w:eastAsia="he-IL"/>
        </w:rPr>
        <w:t>בבע</w:t>
      </w:r>
      <w:r w:rsidR="00680C45">
        <w:rPr>
          <w:rFonts w:hint="cs"/>
          <w:rtl/>
          <w:lang w:eastAsia="he-IL"/>
        </w:rPr>
        <w:t>"</w:t>
      </w:r>
      <w:r w:rsidRPr="00B04C06">
        <w:rPr>
          <w:rtl/>
          <w:lang w:eastAsia="he-IL"/>
        </w:rPr>
        <w:t>מ</w:t>
      </w:r>
      <w:proofErr w:type="spellEnd"/>
      <w:r>
        <w:rPr>
          <w:rtl/>
          <w:lang w:eastAsia="he-IL"/>
        </w:rPr>
        <w:t xml:space="preserve"> </w:t>
      </w:r>
      <w:r w:rsidRPr="00B04C06">
        <w:rPr>
          <w:rtl/>
          <w:lang w:eastAsia="he-IL"/>
        </w:rPr>
        <w:t xml:space="preserve">4547/06 </w:t>
      </w:r>
      <w:r w:rsidRPr="00680C45">
        <w:rPr>
          <w:sz w:val="24"/>
          <w:szCs w:val="24"/>
          <w:rtl/>
          <w:lang w:eastAsia="he-IL"/>
        </w:rPr>
        <w:t>(פלוני נ' פלוני)</w:t>
      </w:r>
      <w:r w:rsidRPr="00B04C06">
        <w:rPr>
          <w:rtl/>
          <w:lang w:eastAsia="he-IL"/>
        </w:rPr>
        <w:t xml:space="preserve">: </w:t>
      </w:r>
    </w:p>
    <w:p w14:paraId="39E61C08" w14:textId="77777777" w:rsidR="005D5CA3" w:rsidRPr="00B04C06" w:rsidRDefault="005D5CA3" w:rsidP="005D5CA3">
      <w:pPr>
        <w:pStyle w:val="af3"/>
        <w:rPr>
          <w:rtl/>
          <w:lang w:eastAsia="he-IL"/>
        </w:rPr>
      </w:pPr>
      <w:r>
        <w:rPr>
          <w:rFonts w:hint="cs"/>
          <w:rtl/>
          <w:lang w:eastAsia="he-IL"/>
        </w:rPr>
        <w:lastRenderedPageBreak/>
        <w:t>"</w:t>
      </w:r>
      <w:r w:rsidRPr="005D5CA3">
        <w:rPr>
          <w:b/>
          <w:bCs/>
          <w:rtl/>
          <w:lang w:eastAsia="he-IL"/>
        </w:rPr>
        <w:t xml:space="preserve">השאלה האם יש מקום להכיר בתוקפו של הסכם ממון שלא אושר על ידי בית המשפט לא זכתה לתשובה חד-משמעית בפסיקה, ויש לגביה דעות לכאן ולכאן, בתלות בנסיבותיו של כל מקרה ומקרה. </w:t>
      </w:r>
      <w:r w:rsidRPr="00B04C06">
        <w:rPr>
          <w:rtl/>
          <w:lang w:eastAsia="he-IL"/>
        </w:rPr>
        <w:t xml:space="preserve">מחד גיסא, יש הסוברים כי אישור המוענק על ידי בית משפט להסכם ממון מהווה תנאי לתקפותו, ומאידך גיסא, יש הרואים באישור זה רובד נוסף להסכם שערכו בני הזוג, אשר לפיו, גם הסכם ממון שלא אושר על ידי בית המשפט, עשוי להיחשב להסכם תקף על פי דיני החוזים </w:t>
      </w:r>
      <w:r w:rsidRPr="00680C45">
        <w:rPr>
          <w:sz w:val="24"/>
          <w:szCs w:val="24"/>
          <w:rtl/>
          <w:lang w:eastAsia="he-IL"/>
        </w:rPr>
        <w:t>(לסקירה ממצה של הגישות בעניין, ראו: ניסים שלם יחסי ממון ורכוש – הלכה ומעשה 153-173 (2001)</w:t>
      </w:r>
      <w:r w:rsidRPr="00B04C06">
        <w:rPr>
          <w:rtl/>
          <w:lang w:eastAsia="he-IL"/>
        </w:rPr>
        <w:t>).</w:t>
      </w:r>
      <w:r>
        <w:rPr>
          <w:rFonts w:hint="cs"/>
          <w:rtl/>
          <w:lang w:eastAsia="he-IL"/>
        </w:rPr>
        <w:t>"</w:t>
      </w:r>
    </w:p>
    <w:p w14:paraId="4BCE3F90" w14:textId="77777777" w:rsidR="005D5CA3" w:rsidRPr="00B04C06" w:rsidRDefault="005D5CA3" w:rsidP="008A7D5D">
      <w:pPr>
        <w:pStyle w:val="af"/>
        <w:rPr>
          <w:rtl/>
          <w:lang w:eastAsia="he-IL"/>
        </w:rPr>
      </w:pPr>
      <w:r>
        <w:rPr>
          <w:rFonts w:hint="cs"/>
          <w:rtl/>
          <w:lang w:eastAsia="he-IL"/>
        </w:rPr>
        <w:t xml:space="preserve">לאמור - </w:t>
      </w:r>
      <w:r w:rsidRPr="00B04C06">
        <w:rPr>
          <w:rtl/>
          <w:lang w:eastAsia="he-IL"/>
        </w:rPr>
        <w:t>ההכרעה תלויה "בתלות בנסיבותיו של כל מקרה ומקרה"</w:t>
      </w:r>
      <w:r>
        <w:rPr>
          <w:rFonts w:hint="cs"/>
          <w:rtl/>
          <w:lang w:eastAsia="he-IL"/>
        </w:rPr>
        <w:t>.</w:t>
      </w:r>
    </w:p>
    <w:p w14:paraId="42695D4A" w14:textId="1436D1C5" w:rsidR="005D5CA3" w:rsidRPr="00B04C06" w:rsidRDefault="005D5CA3" w:rsidP="008A7D5D">
      <w:pPr>
        <w:pStyle w:val="af"/>
        <w:rPr>
          <w:rtl/>
          <w:lang w:eastAsia="he-IL"/>
        </w:rPr>
      </w:pPr>
      <w:r>
        <w:rPr>
          <w:rFonts w:hint="cs"/>
          <w:rtl/>
          <w:lang w:eastAsia="he-IL"/>
        </w:rPr>
        <w:t>ביהמ"ש אף קבע ש</w:t>
      </w:r>
      <w:r w:rsidRPr="00B04C06">
        <w:rPr>
          <w:rtl/>
          <w:lang w:eastAsia="he-IL"/>
        </w:rPr>
        <w:t xml:space="preserve">יש לנהוג בזהירות ובצמצום כאשר באים לסטות מהחובה החוקית לאשר בערכאה מוסמכת הסכם ממוני בין בני זוג. בפסק דין של ביהמ"ש העליון </w:t>
      </w:r>
      <w:r w:rsidRPr="00680C45">
        <w:rPr>
          <w:rFonts w:hint="cs"/>
          <w:sz w:val="24"/>
          <w:szCs w:val="24"/>
          <w:rtl/>
          <w:lang w:eastAsia="he-IL"/>
        </w:rPr>
        <w:t>(</w:t>
      </w:r>
      <w:r w:rsidRPr="00680C45">
        <w:rPr>
          <w:sz w:val="24"/>
          <w:szCs w:val="24"/>
          <w:rtl/>
          <w:lang w:eastAsia="he-IL"/>
        </w:rPr>
        <w:t xml:space="preserve">ע"א 1629/11 מאיר יצחקי ואח' נגד סמדר </w:t>
      </w:r>
      <w:proofErr w:type="spellStart"/>
      <w:r w:rsidRPr="00680C45">
        <w:rPr>
          <w:sz w:val="24"/>
          <w:szCs w:val="24"/>
          <w:rtl/>
          <w:lang w:eastAsia="he-IL"/>
        </w:rPr>
        <w:t>וכטר</w:t>
      </w:r>
      <w:proofErr w:type="spellEnd"/>
      <w:r w:rsidRPr="00680C45">
        <w:rPr>
          <w:sz w:val="24"/>
          <w:szCs w:val="24"/>
          <w:rtl/>
          <w:lang w:eastAsia="he-IL"/>
        </w:rPr>
        <w:t xml:space="preserve"> ואח'</w:t>
      </w:r>
      <w:r w:rsidRPr="00680C45">
        <w:rPr>
          <w:rFonts w:hint="cs"/>
          <w:sz w:val="24"/>
          <w:szCs w:val="24"/>
          <w:rtl/>
          <w:lang w:eastAsia="he-IL"/>
        </w:rPr>
        <w:t>)</w:t>
      </w:r>
      <w:r>
        <w:rPr>
          <w:rFonts w:hint="cs"/>
          <w:rtl/>
          <w:lang w:eastAsia="he-IL"/>
        </w:rPr>
        <w:t>,</w:t>
      </w:r>
      <w:r w:rsidRPr="00B04C06">
        <w:rPr>
          <w:rtl/>
          <w:lang w:eastAsia="he-IL"/>
        </w:rPr>
        <w:t xml:space="preserve"> כתב ביהמ"ש </w:t>
      </w:r>
      <w:r w:rsidRPr="00680C45">
        <w:rPr>
          <w:sz w:val="24"/>
          <w:szCs w:val="24"/>
          <w:rtl/>
          <w:lang w:eastAsia="he-IL"/>
        </w:rPr>
        <w:t>(בדבריה של השופטת ברק ארז)</w:t>
      </w:r>
      <w:r w:rsidRPr="00B04C06">
        <w:rPr>
          <w:rtl/>
          <w:lang w:eastAsia="he-IL"/>
        </w:rPr>
        <w:t>:</w:t>
      </w:r>
    </w:p>
    <w:p w14:paraId="5F2CC1E3" w14:textId="161A24D9" w:rsidR="005D5CA3" w:rsidRPr="00B04C06" w:rsidRDefault="005D5CA3" w:rsidP="005D5CA3">
      <w:pPr>
        <w:pStyle w:val="af3"/>
        <w:rPr>
          <w:rtl/>
          <w:lang w:eastAsia="he-IL"/>
        </w:rPr>
      </w:pPr>
      <w:r>
        <w:rPr>
          <w:rFonts w:hint="cs"/>
          <w:rtl/>
          <w:lang w:eastAsia="he-IL"/>
        </w:rPr>
        <w:t>"</w:t>
      </w:r>
      <w:r w:rsidRPr="00B04C06">
        <w:rPr>
          <w:rtl/>
          <w:lang w:eastAsia="he-IL"/>
        </w:rPr>
        <w:t xml:space="preserve">מהן </w:t>
      </w:r>
      <w:proofErr w:type="spellStart"/>
      <w:r w:rsidRPr="00B04C06">
        <w:rPr>
          <w:rtl/>
          <w:lang w:eastAsia="he-IL"/>
        </w:rPr>
        <w:t>א</w:t>
      </w:r>
      <w:r w:rsidR="00680C45">
        <w:rPr>
          <w:rFonts w:hint="cs"/>
          <w:rtl/>
          <w:lang w:eastAsia="he-IL"/>
        </w:rPr>
        <w:t>י</w:t>
      </w:r>
      <w:r w:rsidRPr="00B04C06">
        <w:rPr>
          <w:rtl/>
          <w:lang w:eastAsia="he-IL"/>
        </w:rPr>
        <w:t>פוא</w:t>
      </w:r>
      <w:proofErr w:type="spellEnd"/>
      <w:r w:rsidRPr="00B04C06">
        <w:rPr>
          <w:rtl/>
          <w:lang w:eastAsia="he-IL"/>
        </w:rPr>
        <w:t xml:space="preserve"> תוצאותיו של הסכם המסדיר זכויות כלכליות של בני זוג ולא זכה לאישורה של ערכאה שיפוטית מוסמכת? אכן, כפי שציין חברי השופט </w:t>
      </w:r>
      <w:proofErr w:type="spellStart"/>
      <w:r w:rsidRPr="00B04C06">
        <w:rPr>
          <w:rtl/>
          <w:lang w:eastAsia="he-IL"/>
        </w:rPr>
        <w:t>סולברג</w:t>
      </w:r>
      <w:proofErr w:type="spellEnd"/>
      <w:r w:rsidRPr="00B04C06">
        <w:rPr>
          <w:rtl/>
          <w:lang w:eastAsia="he-IL"/>
        </w:rPr>
        <w:t xml:space="preserve">, בני זוג עשויים להתקשר ביניהם בהסכמים שלהם השפעה על זכויותיהם הכלכליות, מבלי שאלה ייחשבו להסכמי ממון הטעונים אישורה של ערכאה שיפוטית מוסמכת. אולם, דברים אלה אמורים רק במקרים שבהם ההסכם אינו מכוון להסדיר את מערכת היחסים הכוללת בין בני הזוג במקרה של פרידה ופקיעת הנישואין. </w:t>
      </w:r>
    </w:p>
    <w:p w14:paraId="376F560B" w14:textId="77777777" w:rsidR="002D3CEE" w:rsidRDefault="005D5CA3" w:rsidP="002D3CEE">
      <w:pPr>
        <w:pStyle w:val="af3"/>
        <w:rPr>
          <w:rtl/>
          <w:lang w:eastAsia="he-IL"/>
        </w:rPr>
      </w:pPr>
      <w:r w:rsidRPr="00B04C06">
        <w:rPr>
          <w:rtl/>
          <w:lang w:eastAsia="he-IL"/>
        </w:rPr>
        <w:t xml:space="preserve">בעניין שרעבי שממנו ציטט חברי, הדגישה המשנה לנשיא מ' בן-פורת כי דבריה מכוונים למצבים שבהם ההסכם אינו יכול להיחשב הסכם ממון, כשלשיטתה "המבחן הקובע… [הוא] התייחסותו ליחסי הרכוש בין בני הזוג למקרה של פקיעת הנישואין או של מות אחד מהם" </w:t>
      </w:r>
      <w:r w:rsidRPr="00680C45">
        <w:rPr>
          <w:sz w:val="24"/>
          <w:szCs w:val="24"/>
          <w:rtl/>
          <w:lang w:eastAsia="he-IL"/>
        </w:rPr>
        <w:t>(שם, בעמ' 781)</w:t>
      </w:r>
      <w:r w:rsidRPr="00B04C06">
        <w:rPr>
          <w:rtl/>
          <w:lang w:eastAsia="he-IL"/>
        </w:rPr>
        <w:t>. בדומה לכך, בבג"ץ 10605/02 גמליאל נ' בית הדין הרבני הגדול פ"ד נח</w:t>
      </w:r>
      <w:r w:rsidRPr="00680C45">
        <w:rPr>
          <w:sz w:val="24"/>
          <w:szCs w:val="24"/>
          <w:rtl/>
          <w:lang w:eastAsia="he-IL"/>
        </w:rPr>
        <w:t>(2)</w:t>
      </w:r>
      <w:r w:rsidRPr="00B04C06">
        <w:rPr>
          <w:rtl/>
          <w:lang w:eastAsia="he-IL"/>
        </w:rPr>
        <w:t xml:space="preserve"> 529 </w:t>
      </w:r>
      <w:r w:rsidRPr="00680C45">
        <w:rPr>
          <w:sz w:val="24"/>
          <w:szCs w:val="24"/>
          <w:rtl/>
          <w:lang w:eastAsia="he-IL"/>
        </w:rPr>
        <w:t>(2003)</w:t>
      </w:r>
      <w:r w:rsidRPr="00B04C06">
        <w:rPr>
          <w:rtl/>
          <w:lang w:eastAsia="he-IL"/>
        </w:rPr>
        <w:t xml:space="preserve"> הכיר בית משפט זה באפשרות של הכרה בתוקפו של הסכם שהוציא נכס מן המכלול של הנכסים המיועדים לאיזון, להבדיל מהסכם כולל, בהסתמך על נוסחו של סעיף 5</w:t>
      </w:r>
      <w:r w:rsidRPr="00680C45">
        <w:rPr>
          <w:sz w:val="24"/>
          <w:szCs w:val="24"/>
          <w:rtl/>
          <w:lang w:eastAsia="he-IL"/>
        </w:rPr>
        <w:t>(א)(3)</w:t>
      </w:r>
      <w:r w:rsidRPr="00B04C06">
        <w:rPr>
          <w:rtl/>
          <w:lang w:eastAsia="he-IL"/>
        </w:rPr>
        <w:t xml:space="preserve"> לחוק יחסי ממון המתייחס ל"נכסים שבני הזוג הסכימו בכתב שווים לא יאוזן ביניהם". </w:t>
      </w:r>
    </w:p>
    <w:p w14:paraId="7E927346" w14:textId="77777777" w:rsidR="002D3CEE" w:rsidRDefault="005D5CA3" w:rsidP="002D3CEE">
      <w:pPr>
        <w:pStyle w:val="af3"/>
        <w:rPr>
          <w:rtl/>
          <w:lang w:eastAsia="he-IL"/>
        </w:rPr>
      </w:pPr>
      <w:r w:rsidRPr="00B04C06">
        <w:rPr>
          <w:rtl/>
          <w:lang w:eastAsia="he-IL"/>
        </w:rPr>
        <w:t>לשיטתי, יש להישמר מגלישה במורדו של "מדרון חלקלק" שיוציא מגדר תחולתה של דרישת האישור הסכמים רבים מדי. פרשנות כזו עלולה לרוקן בסופו של דבר את הדרישה לאישורו של הסכם ממון ממשמעותה, אם יתברר כי בסופו של דבר הנכסים הנותרים לאיזון נותרו מדולדלים ביותר, מכוחה של שורת הסכמים קודמים שנעשו, ולא נדרשו לכאורה לאישורו של בית משפט על-פי חוק יחסי ממון.</w:t>
      </w:r>
    </w:p>
    <w:p w14:paraId="164A9F6A" w14:textId="77777777" w:rsidR="00D23FC1" w:rsidRDefault="005D5CA3" w:rsidP="00D23FC1">
      <w:pPr>
        <w:pStyle w:val="af3"/>
        <w:rPr>
          <w:rtl/>
          <w:lang w:eastAsia="he-IL"/>
        </w:rPr>
      </w:pPr>
      <w:r>
        <w:rPr>
          <w:rFonts w:hint="cs"/>
          <w:rtl/>
          <w:lang w:eastAsia="he-IL"/>
        </w:rPr>
        <w:t>[...]</w:t>
      </w:r>
    </w:p>
    <w:p w14:paraId="10AD10F5" w14:textId="2FA2DED0" w:rsidR="005D5CA3" w:rsidRPr="00B04C06" w:rsidRDefault="005D5CA3" w:rsidP="00D23FC1">
      <w:pPr>
        <w:pStyle w:val="af3"/>
        <w:rPr>
          <w:rtl/>
          <w:lang w:eastAsia="he-IL"/>
        </w:rPr>
      </w:pPr>
      <w:r w:rsidRPr="00B04C06">
        <w:rPr>
          <w:rtl/>
          <w:lang w:eastAsia="he-IL"/>
        </w:rPr>
        <w:t xml:space="preserve">כזה הוא בדיוק טיב ההסכמים שלגביהם סבר המחוקק, על יסוד ניסיון החיים, </w:t>
      </w:r>
      <w:bookmarkStart w:id="0" w:name="_Hlk121146229"/>
      <w:r w:rsidRPr="00B04C06">
        <w:rPr>
          <w:rtl/>
          <w:lang w:eastAsia="he-IL"/>
        </w:rPr>
        <w:t xml:space="preserve">שעריכתם מהווה כר פורה להפעלת לחצים ומניפולציות מצד הסביבה או על-ידי אחד מבני הזוג, באופן שמחייב פיקוחה של ערכאה שיפוטית מוסמכת על מנת להבטיח את </w:t>
      </w:r>
      <w:proofErr w:type="spellStart"/>
      <w:r w:rsidRPr="00B04C06">
        <w:rPr>
          <w:rtl/>
          <w:lang w:eastAsia="he-IL"/>
        </w:rPr>
        <w:t>גמירות</w:t>
      </w:r>
      <w:proofErr w:type="spellEnd"/>
      <w:r w:rsidRPr="00B04C06">
        <w:rPr>
          <w:rtl/>
          <w:lang w:eastAsia="he-IL"/>
        </w:rPr>
        <w:t xml:space="preserve"> דעתם המלאה של שני בני הזוג. </w:t>
      </w:r>
      <w:bookmarkEnd w:id="0"/>
      <w:r w:rsidRPr="00B04C06">
        <w:rPr>
          <w:rtl/>
          <w:lang w:eastAsia="he-IL"/>
        </w:rPr>
        <w:t xml:space="preserve">אם מוסכם על הכול שדרישת אישור זו ממלאת תפקיד חיוני בהבטחת </w:t>
      </w:r>
      <w:proofErr w:type="spellStart"/>
      <w:r w:rsidRPr="00B04C06">
        <w:rPr>
          <w:rtl/>
          <w:lang w:eastAsia="he-IL"/>
        </w:rPr>
        <w:t>גמירות</w:t>
      </w:r>
      <w:proofErr w:type="spellEnd"/>
      <w:r w:rsidRPr="00B04C06">
        <w:rPr>
          <w:rtl/>
          <w:lang w:eastAsia="he-IL"/>
        </w:rPr>
        <w:t xml:space="preserve"> דעתם של בני הזוג והגנתם מפני הלחצים הפנימיים </w:t>
      </w:r>
      <w:r w:rsidRPr="00B04C06">
        <w:rPr>
          <w:rtl/>
          <w:lang w:eastAsia="he-IL"/>
        </w:rPr>
        <w:lastRenderedPageBreak/>
        <w:t>והחיצוניים הנלווים לעריכתו של הסכם ממון, כיצד זה נוכל לרוקנה מתוכן, גם אם במקרה דנן יוביל הדבר לתוצאה צודקת וראויה?</w:t>
      </w:r>
      <w:r>
        <w:rPr>
          <w:rFonts w:hint="cs"/>
          <w:rtl/>
          <w:lang w:eastAsia="he-IL"/>
        </w:rPr>
        <w:t>"</w:t>
      </w:r>
    </w:p>
    <w:p w14:paraId="5A703E13" w14:textId="0DE1D2AB" w:rsidR="005D5CA3" w:rsidRDefault="005D5CA3" w:rsidP="004008A7">
      <w:pPr>
        <w:pStyle w:val="af"/>
        <w:rPr>
          <w:rtl/>
          <w:lang w:eastAsia="he-IL"/>
        </w:rPr>
      </w:pPr>
      <w:r w:rsidRPr="00B04C06">
        <w:rPr>
          <w:rtl/>
          <w:lang w:eastAsia="he-IL"/>
        </w:rPr>
        <w:t>גישת ביהמ"ש העליון בפסה"ד בעניין יצחקי</w:t>
      </w:r>
      <w:r>
        <w:rPr>
          <w:rFonts w:hint="cs"/>
          <w:rtl/>
          <w:lang w:eastAsia="he-IL"/>
        </w:rPr>
        <w:t>, ש</w:t>
      </w:r>
      <w:r w:rsidRPr="00B04C06">
        <w:rPr>
          <w:rtl/>
          <w:lang w:eastAsia="he-IL"/>
        </w:rPr>
        <w:t>על בתי המשפט להיזהר בקביעה שהסכמים מסוימים אינם חייבים אישור. לדברי ביהמ"ש אם נפטור הסכמים רבים מידי מחובת האישור</w:t>
      </w:r>
      <w:r>
        <w:rPr>
          <w:rFonts w:hint="cs"/>
          <w:rtl/>
          <w:lang w:eastAsia="he-IL"/>
        </w:rPr>
        <w:t>,</w:t>
      </w:r>
      <w:r w:rsidRPr="00B04C06">
        <w:rPr>
          <w:rtl/>
          <w:lang w:eastAsia="he-IL"/>
        </w:rPr>
        <w:t xml:space="preserve"> עלולים </w:t>
      </w:r>
      <w:r>
        <w:rPr>
          <w:rFonts w:hint="cs"/>
          <w:rtl/>
          <w:lang w:eastAsia="he-IL"/>
        </w:rPr>
        <w:t>לגלוש</w:t>
      </w:r>
      <w:r w:rsidRPr="00B04C06">
        <w:rPr>
          <w:rtl/>
          <w:lang w:eastAsia="he-IL"/>
        </w:rPr>
        <w:t xml:space="preserve"> במדרון </w:t>
      </w:r>
      <w:r>
        <w:rPr>
          <w:rFonts w:hint="cs"/>
          <w:rtl/>
          <w:lang w:eastAsia="he-IL"/>
        </w:rPr>
        <w:t>ש</w:t>
      </w:r>
      <w:r w:rsidRPr="00B04C06">
        <w:rPr>
          <w:rtl/>
          <w:lang w:eastAsia="he-IL"/>
        </w:rPr>
        <w:t>ירוקן מתוכן את דרישת האישור</w:t>
      </w:r>
      <w:r>
        <w:rPr>
          <w:rFonts w:hint="cs"/>
          <w:rtl/>
          <w:lang w:eastAsia="he-IL"/>
        </w:rPr>
        <w:t>.</w:t>
      </w:r>
      <w:r w:rsidRPr="00B04C06">
        <w:rPr>
          <w:rtl/>
          <w:lang w:eastAsia="he-IL"/>
        </w:rPr>
        <w:t xml:space="preserve"> </w:t>
      </w:r>
    </w:p>
    <w:p w14:paraId="1F0A4C26" w14:textId="77777777" w:rsidR="005D5CA3" w:rsidRDefault="005D5CA3" w:rsidP="00FD608C">
      <w:pPr>
        <w:pStyle w:val="af"/>
        <w:rPr>
          <w:rtl/>
          <w:lang w:eastAsia="he-IL"/>
        </w:rPr>
      </w:pPr>
      <w:r w:rsidRPr="00B04C06">
        <w:rPr>
          <w:rtl/>
          <w:lang w:eastAsia="he-IL"/>
        </w:rPr>
        <w:t>הסכמים שעריכתם מהווה כר פורה להפעלת לח</w:t>
      </w:r>
      <w:r>
        <w:rPr>
          <w:rFonts w:hint="cs"/>
          <w:rtl/>
          <w:lang w:eastAsia="he-IL"/>
        </w:rPr>
        <w:t>ץ וכפיה</w:t>
      </w:r>
      <w:r w:rsidRPr="00B04C06">
        <w:rPr>
          <w:rtl/>
          <w:lang w:eastAsia="he-IL"/>
        </w:rPr>
        <w:t xml:space="preserve"> מצד הסביבה או על-ידי אחד מבני הזוג, </w:t>
      </w:r>
      <w:r>
        <w:rPr>
          <w:rFonts w:hint="cs"/>
          <w:rtl/>
          <w:lang w:eastAsia="he-IL"/>
        </w:rPr>
        <w:t>דורשים לחייב</w:t>
      </w:r>
      <w:r w:rsidRPr="00B04C06">
        <w:rPr>
          <w:rtl/>
          <w:lang w:eastAsia="he-IL"/>
        </w:rPr>
        <w:t xml:space="preserve"> פיקוח של ערכאה שיפוטית מוסמכת</w:t>
      </w:r>
      <w:r>
        <w:rPr>
          <w:rFonts w:hint="cs"/>
          <w:rtl/>
          <w:lang w:eastAsia="he-IL"/>
        </w:rPr>
        <w:t>, ע"מ</w:t>
      </w:r>
      <w:r w:rsidRPr="00B04C06">
        <w:rPr>
          <w:rtl/>
          <w:lang w:eastAsia="he-IL"/>
        </w:rPr>
        <w:t xml:space="preserve"> להבטיח את </w:t>
      </w:r>
      <w:proofErr w:type="spellStart"/>
      <w:r w:rsidRPr="00B04C06">
        <w:rPr>
          <w:rtl/>
          <w:lang w:eastAsia="he-IL"/>
        </w:rPr>
        <w:t>גמירות</w:t>
      </w:r>
      <w:proofErr w:type="spellEnd"/>
      <w:r w:rsidRPr="00B04C06">
        <w:rPr>
          <w:rtl/>
          <w:lang w:eastAsia="he-IL"/>
        </w:rPr>
        <w:t xml:space="preserve"> דעתם המלאה של שני בני הזוג.</w:t>
      </w:r>
    </w:p>
    <w:p w14:paraId="69182133" w14:textId="77777777" w:rsidR="005D5CA3" w:rsidRDefault="005D5CA3" w:rsidP="00FD608C">
      <w:pPr>
        <w:pStyle w:val="af"/>
        <w:rPr>
          <w:rtl/>
          <w:lang w:eastAsia="he-IL"/>
        </w:rPr>
      </w:pPr>
      <w:r>
        <w:rPr>
          <w:rFonts w:hint="cs"/>
          <w:rtl/>
          <w:lang w:eastAsia="he-IL"/>
        </w:rPr>
        <w:t xml:space="preserve">נביא את אשר נפסק </w:t>
      </w:r>
      <w:proofErr w:type="spellStart"/>
      <w:r>
        <w:rPr>
          <w:rFonts w:hint="cs"/>
          <w:rtl/>
          <w:lang w:eastAsia="he-IL"/>
        </w:rPr>
        <w:t>ב</w:t>
      </w:r>
      <w:r w:rsidRPr="00FD1638">
        <w:rPr>
          <w:rtl/>
          <w:lang w:eastAsia="he-IL"/>
        </w:rPr>
        <w:t>תלה"מ</w:t>
      </w:r>
      <w:proofErr w:type="spellEnd"/>
      <w:r w:rsidRPr="00FD1638">
        <w:rPr>
          <w:rtl/>
          <w:lang w:eastAsia="he-IL"/>
        </w:rPr>
        <w:t xml:space="preserve"> פ"ת 38274-11-18</w:t>
      </w:r>
      <w:r>
        <w:rPr>
          <w:rFonts w:hint="cs"/>
          <w:rtl/>
          <w:lang w:eastAsia="he-IL"/>
        </w:rPr>
        <w:t xml:space="preserve">. פסק הדין עוסק בסתירה בין הסכם שאושר, לבין רישום הדירה באופן שונה מהכתוב בהסכם. </w:t>
      </w:r>
    </w:p>
    <w:p w14:paraId="5DBE81BC" w14:textId="77777777" w:rsidR="005D5CA3" w:rsidRPr="00FD1638" w:rsidRDefault="005D5CA3" w:rsidP="00FD608C">
      <w:pPr>
        <w:pStyle w:val="af"/>
        <w:rPr>
          <w:lang w:eastAsia="he-IL"/>
        </w:rPr>
      </w:pPr>
      <w:r>
        <w:rPr>
          <w:rFonts w:hint="cs"/>
          <w:rtl/>
          <w:lang w:eastAsia="he-IL"/>
        </w:rPr>
        <w:t xml:space="preserve">הסכם הממון אושר לאחר הנישואין ע"י נוטריון </w:t>
      </w:r>
      <w:r w:rsidRPr="00680C45">
        <w:rPr>
          <w:rFonts w:hint="cs"/>
          <w:sz w:val="24"/>
          <w:szCs w:val="24"/>
          <w:rtl/>
          <w:lang w:eastAsia="he-IL"/>
        </w:rPr>
        <w:t>(הגם שלאחר הנישואין יש לאשר את ההסכם בערכאה שיפוטית)</w:t>
      </w:r>
      <w:r>
        <w:rPr>
          <w:rFonts w:hint="cs"/>
          <w:rtl/>
          <w:lang w:eastAsia="he-IL"/>
        </w:rPr>
        <w:t xml:space="preserve">, כך שעל אף האישור, הוא אינו מהווה אישור בהתאם להוראות סעיף 2 </w:t>
      </w:r>
      <w:r w:rsidRPr="00680C45">
        <w:rPr>
          <w:rFonts w:hint="cs"/>
          <w:sz w:val="24"/>
          <w:szCs w:val="24"/>
          <w:rtl/>
          <w:lang w:eastAsia="he-IL"/>
        </w:rPr>
        <w:t>(א)</w:t>
      </w:r>
      <w:r>
        <w:rPr>
          <w:rFonts w:hint="cs"/>
          <w:rtl/>
          <w:lang w:eastAsia="he-IL"/>
        </w:rPr>
        <w:t xml:space="preserve"> לחוק יחסי ממון בין בני זוג, בשונה מסעיף 2 </w:t>
      </w:r>
      <w:r w:rsidRPr="00680C45">
        <w:rPr>
          <w:rFonts w:hint="cs"/>
          <w:sz w:val="24"/>
          <w:szCs w:val="24"/>
          <w:rtl/>
          <w:lang w:eastAsia="he-IL"/>
        </w:rPr>
        <w:t>(ג1)</w:t>
      </w:r>
      <w:r>
        <w:rPr>
          <w:rFonts w:hint="cs"/>
          <w:rtl/>
          <w:lang w:eastAsia="he-IL"/>
        </w:rPr>
        <w:t xml:space="preserve"> לחוק. הדגשים לא במקור:</w:t>
      </w:r>
    </w:p>
    <w:p w14:paraId="7083EBD3" w14:textId="77777777" w:rsidR="005D5CA3" w:rsidRDefault="005D5CA3" w:rsidP="005D5CA3">
      <w:pPr>
        <w:pStyle w:val="aa"/>
        <w:rPr>
          <w:rtl/>
          <w:lang w:eastAsia="he-IL"/>
        </w:rPr>
      </w:pPr>
      <w:r>
        <w:rPr>
          <w:rFonts w:hint="cs"/>
          <w:rtl/>
          <w:lang w:eastAsia="he-IL"/>
        </w:rPr>
        <w:t>"</w:t>
      </w:r>
      <w:r w:rsidRPr="00FD1638">
        <w:rPr>
          <w:rtl/>
          <w:lang w:eastAsia="he-IL"/>
        </w:rPr>
        <w:t xml:space="preserve">בהקשר זה נפסק על ידי בית המשפט העליון בבג"ץ 10605/02 גמליאל נ' בית-הדין הרבני הגדול, פ"ד נח </w:t>
      </w:r>
      <w:r w:rsidRPr="00680C45">
        <w:rPr>
          <w:sz w:val="24"/>
          <w:szCs w:val="24"/>
          <w:rtl/>
          <w:lang w:eastAsia="he-IL"/>
        </w:rPr>
        <w:t>(2)</w:t>
      </w:r>
      <w:r w:rsidRPr="00FD1638">
        <w:rPr>
          <w:rtl/>
          <w:lang w:eastAsia="he-IL"/>
        </w:rPr>
        <w:t xml:space="preserve"> 529, כדלקמן</w:t>
      </w:r>
      <w:r>
        <w:rPr>
          <w:rFonts w:hint="cs"/>
          <w:rtl/>
          <w:lang w:eastAsia="he-IL"/>
        </w:rPr>
        <w:t>:</w:t>
      </w:r>
    </w:p>
    <w:p w14:paraId="0FFAF863" w14:textId="5891C210" w:rsidR="005D5CA3" w:rsidRPr="00FD1638" w:rsidRDefault="005D5CA3" w:rsidP="005D5CA3">
      <w:pPr>
        <w:pStyle w:val="af3"/>
        <w:rPr>
          <w:rtl/>
          <w:lang w:eastAsia="he-IL"/>
        </w:rPr>
      </w:pPr>
      <w:r>
        <w:rPr>
          <w:rFonts w:hint="cs"/>
          <w:rtl/>
          <w:lang w:eastAsia="he-IL"/>
        </w:rPr>
        <w:t>"</w:t>
      </w:r>
      <w:r w:rsidRPr="00FD1638">
        <w:rPr>
          <w:rtl/>
          <w:lang w:eastAsia="he-IL"/>
        </w:rPr>
        <w:t>במקרה שלפנינו אין בין בני-הזוג הסכם ממון כמשמעותו בחוק יחסי ממון, ועל-כן חל על יחסי הממון שביניהם הסדר איזון המשאבים המפורט בפרק השנים לחוק. במסגרת הסדר זה יש להביא בחשבון את ההסכם הכתוב בין הצדדים, שממנו עולה כוונתם שלא לאזן ביניהם את שווי הדירה במקרה של פקיעת הנישואין על-אף רישום הדירה על שם שני הצדדים, שנעשה לצורכי משכנתא. הסכמה זו תואמת את הוראת סעיף 5</w:t>
      </w:r>
      <w:r w:rsidRPr="00680C45">
        <w:rPr>
          <w:sz w:val="24"/>
          <w:szCs w:val="24"/>
          <w:rtl/>
          <w:lang w:eastAsia="he-IL"/>
        </w:rPr>
        <w:t>(א)(3)</w:t>
      </w:r>
      <w:r w:rsidRPr="00FD1638">
        <w:rPr>
          <w:rtl/>
          <w:lang w:eastAsia="he-IL"/>
        </w:rPr>
        <w:t xml:space="preserve"> סיפא לחוק יחסי ממון, ועל-מנת שתקום די בהסכם "סתם", ובלבד שיהא בכתב, ואין צורך באישורם של בית-המשפט או של בית-הדין המוסמך</w:t>
      </w:r>
      <w:r>
        <w:rPr>
          <w:rtl/>
          <w:lang w:eastAsia="he-IL"/>
        </w:rPr>
        <w:t>.</w:t>
      </w:r>
      <w:r w:rsidRPr="00FD1638">
        <w:rPr>
          <w:rtl/>
          <w:lang w:eastAsia="he-IL"/>
        </w:rPr>
        <w:t xml:space="preserve">.. סוף-דבר – ההסכם שנקשר בין בני-הזוג במקרה שלפנינו, הגם שאינו עולה כדי "הסכם ממון" כהגדרתו בחוק יחסי ממון, הרי הוא בר-תוקף במסגרת הסדר המשאבים בין הצדדים, לפי סעיף 5 </w:t>
      </w:r>
      <w:r w:rsidRPr="00680C45">
        <w:rPr>
          <w:sz w:val="24"/>
          <w:szCs w:val="24"/>
          <w:rtl/>
          <w:lang w:eastAsia="he-IL"/>
        </w:rPr>
        <w:t>(א)(3)</w:t>
      </w:r>
      <w:r w:rsidRPr="00FD1638">
        <w:rPr>
          <w:rtl/>
          <w:lang w:eastAsia="he-IL"/>
        </w:rPr>
        <w:t xml:space="preserve"> לחוק, וניתן לאוכפו על האישה ככל שהוא נוגע לדירה" </w:t>
      </w:r>
      <w:r w:rsidRPr="00680C45">
        <w:rPr>
          <w:sz w:val="24"/>
          <w:szCs w:val="24"/>
          <w:rtl/>
          <w:lang w:eastAsia="he-IL"/>
        </w:rPr>
        <w:t>(ס' 6-7 לפסק הדין)</w:t>
      </w:r>
      <w:r>
        <w:rPr>
          <w:rFonts w:hint="cs"/>
          <w:rtl/>
          <w:lang w:eastAsia="he-IL"/>
        </w:rPr>
        <w:t>"</w:t>
      </w:r>
      <w:r w:rsidRPr="00FD1638">
        <w:rPr>
          <w:lang w:eastAsia="he-IL"/>
        </w:rPr>
        <w:t>.</w:t>
      </w:r>
    </w:p>
    <w:p w14:paraId="2A17B5D3" w14:textId="77777777" w:rsidR="005D5CA3" w:rsidRPr="005D5CA3" w:rsidRDefault="005D5CA3" w:rsidP="005D5CA3">
      <w:pPr>
        <w:pStyle w:val="aa"/>
        <w:rPr>
          <w:b/>
          <w:bCs/>
          <w:rtl/>
          <w:lang w:eastAsia="he-IL"/>
        </w:rPr>
      </w:pPr>
      <w:r w:rsidRPr="00FD1638">
        <w:rPr>
          <w:rtl/>
          <w:lang w:eastAsia="he-IL"/>
        </w:rPr>
        <w:t xml:space="preserve">הנה כי כן, גם אם אין המדובר בהסכם ממון אשר צפה פני נישואין, מה שאין פני הדברים בענייננו, </w:t>
      </w:r>
      <w:r w:rsidRPr="005D5CA3">
        <w:rPr>
          <w:b/>
          <w:bCs/>
          <w:rtl/>
          <w:lang w:eastAsia="he-IL"/>
        </w:rPr>
        <w:t>הרי שמדובר בהסכם "סתם" בכתב אשר מלמד על חלוקה בלתי שוויונית של הדירה בר' או כל דירה חלופית שתירכש על ידי הצדדים</w:t>
      </w:r>
      <w:r w:rsidRPr="005D5CA3">
        <w:rPr>
          <w:b/>
          <w:bCs/>
          <w:lang w:eastAsia="he-IL"/>
        </w:rPr>
        <w:t>.</w:t>
      </w:r>
    </w:p>
    <w:p w14:paraId="6AA71A8B" w14:textId="77777777" w:rsidR="005D5CA3" w:rsidRPr="00FD1638" w:rsidRDefault="005D5CA3" w:rsidP="005D5CA3">
      <w:pPr>
        <w:pStyle w:val="aa"/>
        <w:rPr>
          <w:lang w:eastAsia="he-IL"/>
        </w:rPr>
      </w:pPr>
      <w:r w:rsidRPr="00FD1638">
        <w:rPr>
          <w:rtl/>
          <w:lang w:eastAsia="he-IL"/>
        </w:rPr>
        <w:t xml:space="preserve">כך, גם לגרסת האיש </w:t>
      </w:r>
      <w:r>
        <w:rPr>
          <w:rFonts w:hint="cs"/>
          <w:rtl/>
          <w:lang w:eastAsia="he-IL"/>
        </w:rPr>
        <w:t>-</w:t>
      </w:r>
      <w:r w:rsidRPr="00FD1638">
        <w:rPr>
          <w:rtl/>
          <w:lang w:eastAsia="he-IL"/>
        </w:rPr>
        <w:t xml:space="preserve"> ההסכם עניינו הדירה </w:t>
      </w:r>
      <w:proofErr w:type="spellStart"/>
      <w:r w:rsidRPr="00FD1638">
        <w:rPr>
          <w:rtl/>
          <w:lang w:eastAsia="he-IL"/>
        </w:rPr>
        <w:t>בק</w:t>
      </w:r>
      <w:proofErr w:type="spellEnd"/>
      <w:r w:rsidRPr="00FD1638">
        <w:rPr>
          <w:rtl/>
          <w:lang w:eastAsia="he-IL"/>
        </w:rPr>
        <w:t xml:space="preserve">' כך שגם אם אין בפנינו הסכם ממון הרי שבפנינו הסכם ספציפי הנוגע לדירה </w:t>
      </w:r>
      <w:proofErr w:type="spellStart"/>
      <w:r w:rsidRPr="00FD1638">
        <w:rPr>
          <w:rtl/>
          <w:lang w:eastAsia="he-IL"/>
        </w:rPr>
        <w:t>בק</w:t>
      </w:r>
      <w:proofErr w:type="spellEnd"/>
      <w:r w:rsidRPr="00FD1638">
        <w:rPr>
          <w:rtl/>
          <w:lang w:eastAsia="he-IL"/>
        </w:rPr>
        <w:t>' והקובע כי ההסכם יחול על כל דירה חלופית ולפיכך חל גם על פירוק השיתוף בדירה בר' וניסיונו של האיש להתנער מההסכם אינו עולה בקנה אחד עם עיקרון תום הלב ואף מהווה לטעמי ניסיון לעשיית עושר ולא במשפט</w:t>
      </w:r>
      <w:r w:rsidRPr="00FD1638">
        <w:rPr>
          <w:lang w:eastAsia="he-IL"/>
        </w:rPr>
        <w:t>.</w:t>
      </w:r>
    </w:p>
    <w:p w14:paraId="27B23DDC" w14:textId="77777777" w:rsidR="005D5CA3" w:rsidRPr="00FD1638" w:rsidRDefault="005D5CA3" w:rsidP="005D5CA3">
      <w:pPr>
        <w:pStyle w:val="aa"/>
        <w:rPr>
          <w:lang w:eastAsia="he-IL"/>
        </w:rPr>
      </w:pPr>
      <w:r w:rsidRPr="00FD1638">
        <w:rPr>
          <w:rtl/>
          <w:lang w:eastAsia="he-IL"/>
        </w:rPr>
        <w:t xml:space="preserve">כך גם העובדה שהדירה בר' נרשמה בחלקים שווים על שם הצדדים אין בה לטעמי במקרה דנן כדי לסייע לתובע. אף הדירה </w:t>
      </w:r>
      <w:proofErr w:type="spellStart"/>
      <w:r w:rsidRPr="00FD1638">
        <w:rPr>
          <w:rtl/>
          <w:lang w:eastAsia="he-IL"/>
        </w:rPr>
        <w:t>בק</w:t>
      </w:r>
      <w:proofErr w:type="spellEnd"/>
      <w:r w:rsidRPr="00FD1638">
        <w:rPr>
          <w:rtl/>
          <w:lang w:eastAsia="he-IL"/>
        </w:rPr>
        <w:t xml:space="preserve">', אשר נרכשה לפני נישואי הצדדים, ואשר לא יכולה להיות מחלוקת כי חלקו של האיש בה הוא 23.5% לאחר ניכוי הוצאות המכר והמשכנתא, נרשמה על שם שני הצדדים </w:t>
      </w:r>
      <w:r w:rsidRPr="00FD1638">
        <w:rPr>
          <w:rtl/>
          <w:lang w:eastAsia="he-IL"/>
        </w:rPr>
        <w:lastRenderedPageBreak/>
        <w:t xml:space="preserve">בחלקים שווים. </w:t>
      </w:r>
      <w:r w:rsidRPr="005D5CA3">
        <w:rPr>
          <w:b/>
          <w:bCs/>
          <w:rtl/>
          <w:lang w:eastAsia="he-IL"/>
        </w:rPr>
        <w:t xml:space="preserve">משכך, אין לראות באופן הרישום של הדירה </w:t>
      </w:r>
      <w:r w:rsidRPr="00680C45">
        <w:rPr>
          <w:b/>
          <w:bCs/>
          <w:sz w:val="24"/>
          <w:szCs w:val="24"/>
          <w:rtl/>
          <w:lang w:eastAsia="he-IL"/>
        </w:rPr>
        <w:t>(השנייה כמו גם הראשונה)</w:t>
      </w:r>
      <w:r w:rsidRPr="005D5CA3">
        <w:rPr>
          <w:b/>
          <w:bCs/>
          <w:rtl/>
          <w:lang w:eastAsia="he-IL"/>
        </w:rPr>
        <w:t xml:space="preserve"> משום הסדר שיש בו כדי לאיין את הוראות ההסכם</w:t>
      </w:r>
      <w:r w:rsidRPr="005D5CA3">
        <w:rPr>
          <w:b/>
          <w:bCs/>
          <w:lang w:eastAsia="he-IL"/>
        </w:rPr>
        <w:t>.</w:t>
      </w:r>
    </w:p>
    <w:p w14:paraId="7BFBE1F5" w14:textId="51D81C1B" w:rsidR="005D5CA3" w:rsidRDefault="005D5CA3" w:rsidP="005D5CA3">
      <w:pPr>
        <w:pStyle w:val="aa"/>
        <w:rPr>
          <w:rtl/>
          <w:lang w:eastAsia="he-IL"/>
        </w:rPr>
      </w:pPr>
      <w:r w:rsidRPr="00FD1638">
        <w:rPr>
          <w:rtl/>
          <w:lang w:eastAsia="he-IL"/>
        </w:rPr>
        <w:t>הצדקה נוספת לאכיפת ההסכם הינה חוסר תום ליבו של האיש</w:t>
      </w:r>
      <w:r>
        <w:rPr>
          <w:rFonts w:hint="cs"/>
          <w:rtl/>
          <w:lang w:eastAsia="he-IL"/>
        </w:rPr>
        <w:t xml:space="preserve">. </w:t>
      </w:r>
      <w:r w:rsidRPr="005D5CA3">
        <w:rPr>
          <w:b/>
          <w:bCs/>
          <w:rtl/>
          <w:lang w:eastAsia="he-IL"/>
        </w:rPr>
        <w:t xml:space="preserve">על פי הפסיקה, לבית המשפט מסורה הסמכות להכיר בתוקפו של הסכם ממון גם כאשר הוא לא אושר כדין. עוד נקבע, כי בהסתמך על הדוקטרינה הפסיקתית המוכרת בשיטתנו, ניתן להכיר בתוקפו של הסכם כזה, באופן חריג ובמקרים המתאימים לכך וזאת מכוח עקרונות תום הלב, </w:t>
      </w:r>
      <w:proofErr w:type="spellStart"/>
      <w:r w:rsidRPr="005D5CA3">
        <w:rPr>
          <w:b/>
          <w:bCs/>
          <w:rtl/>
          <w:lang w:eastAsia="he-IL"/>
        </w:rPr>
        <w:t>ההשתק</w:t>
      </w:r>
      <w:proofErr w:type="spellEnd"/>
      <w:r w:rsidRPr="005D5CA3">
        <w:rPr>
          <w:b/>
          <w:bCs/>
          <w:rtl/>
          <w:lang w:eastAsia="he-IL"/>
        </w:rPr>
        <w:t xml:space="preserve"> והמניעות</w:t>
      </w:r>
      <w:r w:rsidRPr="00FD1638">
        <w:rPr>
          <w:rtl/>
          <w:lang w:eastAsia="he-IL"/>
        </w:rPr>
        <w:t xml:space="preserve"> </w:t>
      </w:r>
      <w:r w:rsidRPr="00680C45">
        <w:rPr>
          <w:sz w:val="24"/>
          <w:szCs w:val="24"/>
          <w:rtl/>
          <w:lang w:eastAsia="he-IL"/>
        </w:rPr>
        <w:t>(בע"מ 8167/08 ובע"מ 7734/08 פלוני נ' פלונית, [פורסם בנבו] )</w:t>
      </w:r>
      <w:r w:rsidRPr="00FD1638">
        <w:rPr>
          <w:lang w:eastAsia="he-IL"/>
        </w:rPr>
        <w:t>.</w:t>
      </w:r>
    </w:p>
    <w:p w14:paraId="49B12A31" w14:textId="77777777" w:rsidR="005D5CA3" w:rsidRDefault="005D5CA3" w:rsidP="005D5CA3">
      <w:pPr>
        <w:pStyle w:val="aa"/>
        <w:rPr>
          <w:rtl/>
          <w:lang w:eastAsia="he-IL"/>
        </w:rPr>
      </w:pPr>
      <w:r w:rsidRPr="00FD1638">
        <w:rPr>
          <w:rtl/>
          <w:lang w:eastAsia="he-IL"/>
        </w:rPr>
        <w:t xml:space="preserve">אף משקבעתי כי ההסכם אושר כדין ומשכך הוא תקף ומחייב הרי שלמעלה מן הצורך מצאתי להוסיף כי בנסיבות המקרה דנא נכון יהא להכיר בתוקפו של ההסכם, אשר נכרת טרם הנישואין </w:t>
      </w:r>
      <w:r w:rsidRPr="005D5CA3">
        <w:rPr>
          <w:b/>
          <w:bCs/>
          <w:rtl/>
          <w:lang w:eastAsia="he-IL"/>
        </w:rPr>
        <w:t>אף מכוח עקרון תום הלב והעיקרון שהסכמים יש לכבד</w:t>
      </w:r>
      <w:r w:rsidRPr="00FD1638">
        <w:rPr>
          <w:lang w:eastAsia="he-IL"/>
        </w:rPr>
        <w:t>.</w:t>
      </w:r>
      <w:r>
        <w:rPr>
          <w:rFonts w:hint="cs"/>
          <w:rtl/>
          <w:lang w:eastAsia="he-IL"/>
        </w:rPr>
        <w:t xml:space="preserve"> </w:t>
      </w:r>
      <w:r w:rsidRPr="00FD1638">
        <w:rPr>
          <w:rtl/>
          <w:lang w:eastAsia="he-IL"/>
        </w:rPr>
        <w:t xml:space="preserve">אין מחלוקת כי בין הצדדים נחתם הסכם </w:t>
      </w:r>
      <w:r w:rsidRPr="00680C45">
        <w:rPr>
          <w:sz w:val="24"/>
          <w:szCs w:val="24"/>
          <w:rtl/>
          <w:lang w:eastAsia="he-IL"/>
        </w:rPr>
        <w:t>(שאף אושר על ידי נוטריון)</w:t>
      </w:r>
      <w:r w:rsidRPr="00FD1638">
        <w:rPr>
          <w:rtl/>
          <w:lang w:eastAsia="he-IL"/>
        </w:rPr>
        <w:t>. ההסכם לא בוטל על ידי מי מהצדדים. עיקרון העל בדיני חוזים הוא כי הסכמים יש לקיים</w:t>
      </w:r>
      <w:r w:rsidRPr="00FD1638">
        <w:rPr>
          <w:lang w:eastAsia="he-IL"/>
        </w:rPr>
        <w:t>.</w:t>
      </w:r>
    </w:p>
    <w:p w14:paraId="09186752" w14:textId="160265F9" w:rsidR="005D5CA3" w:rsidRPr="005D5CA3" w:rsidRDefault="005D5CA3" w:rsidP="005D5CA3">
      <w:pPr>
        <w:pStyle w:val="aa"/>
        <w:rPr>
          <w:b/>
          <w:bCs/>
          <w:lang w:eastAsia="he-IL"/>
        </w:rPr>
      </w:pPr>
      <w:r w:rsidRPr="00FD1638">
        <w:rPr>
          <w:rtl/>
          <w:lang w:eastAsia="he-IL"/>
        </w:rPr>
        <w:t>במקרה דנן חתם האיש על הסכם לאחר שקרא אותו והבין אותו</w:t>
      </w:r>
      <w:r>
        <w:rPr>
          <w:rFonts w:hint="cs"/>
          <w:rtl/>
          <w:lang w:eastAsia="he-IL"/>
        </w:rPr>
        <w:t xml:space="preserve">. </w:t>
      </w:r>
      <w:r w:rsidRPr="00FD1638">
        <w:rPr>
          <w:rtl/>
          <w:lang w:eastAsia="he-IL"/>
        </w:rPr>
        <w:t xml:space="preserve">האיש לא העלה כל טענה לחוסר </w:t>
      </w:r>
      <w:proofErr w:type="spellStart"/>
      <w:r w:rsidRPr="00FD1638">
        <w:rPr>
          <w:rtl/>
          <w:lang w:eastAsia="he-IL"/>
        </w:rPr>
        <w:t>נפקותו</w:t>
      </w:r>
      <w:proofErr w:type="spellEnd"/>
      <w:r w:rsidRPr="00FD1638">
        <w:rPr>
          <w:rtl/>
          <w:lang w:eastAsia="he-IL"/>
        </w:rPr>
        <w:t xml:space="preserve"> של ההסכם מכוח דיני החוזים</w:t>
      </w:r>
      <w:r>
        <w:rPr>
          <w:rFonts w:hint="cs"/>
          <w:rtl/>
          <w:lang w:eastAsia="he-IL"/>
        </w:rPr>
        <w:t xml:space="preserve">. </w:t>
      </w:r>
      <w:r w:rsidRPr="005D5CA3">
        <w:rPr>
          <w:b/>
          <w:bCs/>
          <w:rtl/>
          <w:lang w:eastAsia="he-IL"/>
        </w:rPr>
        <w:t>אין כל טענה לפיה האיש חתם על ההסכם בטעות או תחת כפיה</w:t>
      </w:r>
      <w:r w:rsidRPr="005D5CA3">
        <w:rPr>
          <w:b/>
          <w:bCs/>
          <w:lang w:eastAsia="he-IL"/>
        </w:rPr>
        <w:t>.</w:t>
      </w:r>
      <w:r w:rsidRPr="005D5CA3">
        <w:rPr>
          <w:rFonts w:hint="cs"/>
          <w:b/>
          <w:bCs/>
          <w:rtl/>
          <w:lang w:eastAsia="he-IL"/>
        </w:rPr>
        <w:t xml:space="preserve"> </w:t>
      </w:r>
      <w:r w:rsidRPr="005D5CA3">
        <w:rPr>
          <w:b/>
          <w:bCs/>
          <w:rtl/>
          <w:lang w:eastAsia="he-IL"/>
        </w:rPr>
        <w:t>בנוסף, אין מחלוקת כי ההשקעה הכספית בדירה לא הייתה שווה ויתירה מכך, אף כדברי האיש – ההסכם נועד להגן על זכויותיהם של הורי האישה אשר השקיעו את רוב כספי המקדמה בדירה</w:t>
      </w:r>
      <w:r w:rsidRPr="005D5CA3">
        <w:rPr>
          <w:b/>
          <w:bCs/>
          <w:lang w:eastAsia="he-IL"/>
        </w:rPr>
        <w:t>.</w:t>
      </w:r>
    </w:p>
    <w:p w14:paraId="775450C0" w14:textId="23F96994" w:rsidR="005D5CA3" w:rsidRDefault="005D5CA3" w:rsidP="005D5CA3">
      <w:pPr>
        <w:pStyle w:val="aa"/>
        <w:rPr>
          <w:rtl/>
          <w:lang w:eastAsia="he-IL"/>
        </w:rPr>
      </w:pPr>
      <w:r w:rsidRPr="00FD1638">
        <w:rPr>
          <w:rtl/>
          <w:lang w:eastAsia="he-IL"/>
        </w:rPr>
        <w:t>זאת ועוד, לא שוכנעתי כי לאחר הנישואין סבר האיש כי ההסכם אינו בתוקף או כי הצדדים באופן מודע לא אישרו את ההסכם בבית המשפט. רק כעת, שעה שהאיש נדרש לביצוע חלקו בהסכם, העלה האיש טענה כי ההסכם אינו בתוקף</w:t>
      </w:r>
      <w:r w:rsidR="007C2D55">
        <w:rPr>
          <w:rFonts w:hint="cs"/>
          <w:rtl/>
          <w:lang w:eastAsia="he-IL"/>
        </w:rPr>
        <w:t>.</w:t>
      </w:r>
      <w:r>
        <w:rPr>
          <w:rFonts w:hint="cs"/>
          <w:rtl/>
          <w:lang w:eastAsia="he-IL"/>
        </w:rPr>
        <w:t xml:space="preserve">". </w:t>
      </w:r>
    </w:p>
    <w:p w14:paraId="2D11A62A" w14:textId="735AA40C" w:rsidR="005D5CA3" w:rsidRPr="00B27F69" w:rsidRDefault="005D5CA3" w:rsidP="005D5CA3">
      <w:pPr>
        <w:pStyle w:val="af"/>
        <w:rPr>
          <w:b/>
          <w:bCs/>
          <w:lang w:eastAsia="he-IL"/>
        </w:rPr>
      </w:pPr>
      <w:r w:rsidRPr="00B27F69">
        <w:rPr>
          <w:rFonts w:hint="cs"/>
          <w:b/>
          <w:bCs/>
          <w:rtl/>
          <w:lang w:eastAsia="he-IL"/>
        </w:rPr>
        <w:t>עכ"ל פסק הדין.</w:t>
      </w:r>
    </w:p>
    <w:p w14:paraId="19206FA7" w14:textId="77777777" w:rsidR="005D5CA3" w:rsidRDefault="005D5CA3" w:rsidP="005D5CA3">
      <w:pPr>
        <w:pStyle w:val="af"/>
        <w:rPr>
          <w:rtl/>
          <w:lang w:eastAsia="he-IL"/>
        </w:rPr>
      </w:pPr>
      <w:r>
        <w:rPr>
          <w:rFonts w:hint="cs"/>
          <w:rtl/>
          <w:lang w:eastAsia="he-IL"/>
        </w:rPr>
        <w:t xml:space="preserve">והנה - בנידון שלפנינו, מדובר בהסכם שהוא בעצם פועל יוצא של הסכם הממון שאושר. </w:t>
      </w:r>
    </w:p>
    <w:p w14:paraId="0C681DB5" w14:textId="2E5B3F42" w:rsidR="005D5CA3" w:rsidRDefault="005D5CA3" w:rsidP="005D5CA3">
      <w:pPr>
        <w:pStyle w:val="af"/>
        <w:rPr>
          <w:rtl/>
          <w:lang w:eastAsia="he-IL"/>
        </w:rPr>
      </w:pPr>
      <w:r>
        <w:rPr>
          <w:rFonts w:hint="cs"/>
          <w:rtl/>
          <w:lang w:eastAsia="he-IL"/>
        </w:rPr>
        <w:t xml:space="preserve">המשיב רצה להבהיר ולהדגיש, שהסכומים אותם הוא משקיע בדירה, הינם הפירות של הכספים המוחרגים בהתאם להסכם הממון שאושר בינואר 2006. </w:t>
      </w:r>
    </w:p>
    <w:p w14:paraId="11485989" w14:textId="77777777" w:rsidR="005D5CA3" w:rsidRDefault="005D5CA3" w:rsidP="005D5CA3">
      <w:pPr>
        <w:pStyle w:val="af"/>
        <w:rPr>
          <w:rtl/>
          <w:lang w:eastAsia="he-IL"/>
        </w:rPr>
      </w:pPr>
      <w:r>
        <w:rPr>
          <w:rFonts w:hint="cs"/>
          <w:rtl/>
          <w:lang w:eastAsia="he-IL"/>
        </w:rPr>
        <w:t xml:space="preserve">הוא לא רצה להתדיין עם המערערת על שיתוף הכספים ולא רצה להגיע למצב שהוא יצטרך להוכיח את מקור הכספים. </w:t>
      </w:r>
    </w:p>
    <w:p w14:paraId="1F9F99C3" w14:textId="55642BCD" w:rsidR="005D5CA3" w:rsidRDefault="005D5CA3" w:rsidP="005D5CA3">
      <w:pPr>
        <w:pStyle w:val="af"/>
        <w:rPr>
          <w:rtl/>
          <w:lang w:eastAsia="he-IL"/>
        </w:rPr>
      </w:pPr>
      <w:r>
        <w:rPr>
          <w:rFonts w:hint="cs"/>
          <w:rtl/>
          <w:lang w:eastAsia="he-IL"/>
        </w:rPr>
        <w:t>מכאן שלא מדובר בהסכם שנועד לקפח את המערערת או לנשל אותה מזכויות המגיעות לה בדין.</w:t>
      </w:r>
    </w:p>
    <w:p w14:paraId="48DAA222" w14:textId="3CE97237" w:rsidR="005D5CA3" w:rsidRDefault="005D5CA3" w:rsidP="005D5CA3">
      <w:pPr>
        <w:pStyle w:val="af"/>
        <w:rPr>
          <w:rtl/>
          <w:lang w:eastAsia="he-IL"/>
        </w:rPr>
      </w:pPr>
      <w:r>
        <w:rPr>
          <w:rFonts w:hint="cs"/>
          <w:rtl/>
          <w:lang w:eastAsia="he-IL"/>
        </w:rPr>
        <w:t>לא מדובר בהסכם שבא להוסיף נכס שלא יהיה בר איזון ובר שיתוף</w:t>
      </w:r>
      <w:r w:rsidR="007E581E">
        <w:rPr>
          <w:rFonts w:hint="cs"/>
          <w:rtl/>
          <w:lang w:eastAsia="he-IL"/>
        </w:rPr>
        <w:t>,</w:t>
      </w:r>
      <w:r>
        <w:rPr>
          <w:rFonts w:hint="cs"/>
          <w:rtl/>
          <w:lang w:eastAsia="he-IL"/>
        </w:rPr>
        <w:t xml:space="preserve"> אלא הבהרה של המציאות בהתאם להסכם הממון שאושר, לפיו הדירה נרכשה באופן זה ש-82% מעלותה, מומנה מכספים של המשיב, כספים שאינם ברי איזון.</w:t>
      </w:r>
    </w:p>
    <w:p w14:paraId="068AD975" w14:textId="66D6D242" w:rsidR="005D5CA3" w:rsidRDefault="005D5CA3" w:rsidP="005D5CA3">
      <w:pPr>
        <w:pStyle w:val="af"/>
        <w:rPr>
          <w:rtl/>
          <w:lang w:eastAsia="he-IL"/>
        </w:rPr>
      </w:pPr>
      <w:r>
        <w:rPr>
          <w:rFonts w:hint="cs"/>
          <w:rtl/>
          <w:lang w:eastAsia="he-IL"/>
        </w:rPr>
        <w:t xml:space="preserve">אין ספק שאם היה מדובר בהסכם </w:t>
      </w:r>
      <w:r w:rsidRPr="00B04C06">
        <w:rPr>
          <w:rFonts w:hint="cs"/>
          <w:b/>
          <w:bCs/>
          <w:rtl/>
          <w:lang w:eastAsia="he-IL"/>
        </w:rPr>
        <w:t>"משנה כיוון"</w:t>
      </w:r>
      <w:r>
        <w:rPr>
          <w:rFonts w:hint="cs"/>
          <w:rtl/>
          <w:lang w:eastAsia="he-IL"/>
        </w:rPr>
        <w:t xml:space="preserve">, או הסכם שבא להוסיף נכסים וכיו"ב, שבהתאם לחוק וההסכם הינם ברי איזון, והמשיב היה רוצה להוסיף נכסים נוספים להחרגה מאיזון, וממילא הייתה המערערת מקופחת מזכויותיה, היה עלינו לנהוג זהירות יתירה ומשנה עיון באשר לתוקפו של הסכם שלא אושר בערכאה שיפוטית, מחשש שמא מדובר בהסכם כפוי, תחת אונס ולחץ. </w:t>
      </w:r>
    </w:p>
    <w:p w14:paraId="17C50E96" w14:textId="62CF74DB" w:rsidR="005D5CA3" w:rsidRDefault="005D5CA3" w:rsidP="005D5CA3">
      <w:pPr>
        <w:pStyle w:val="af"/>
        <w:rPr>
          <w:rtl/>
          <w:lang w:eastAsia="he-IL"/>
        </w:rPr>
      </w:pPr>
      <w:r>
        <w:rPr>
          <w:rFonts w:hint="cs"/>
          <w:rtl/>
          <w:lang w:eastAsia="he-IL"/>
        </w:rPr>
        <w:lastRenderedPageBreak/>
        <w:t>אלא שכאמור לעיל, הסכם אשר עולה בקנה אחד עם הוראות חוק יחסי ממון</w:t>
      </w:r>
      <w:r w:rsidR="007E581E">
        <w:rPr>
          <w:rFonts w:hint="cs"/>
          <w:rtl/>
          <w:lang w:eastAsia="he-IL"/>
        </w:rPr>
        <w:t>,</w:t>
      </w:r>
      <w:r>
        <w:rPr>
          <w:rFonts w:hint="cs"/>
          <w:rtl/>
          <w:lang w:eastAsia="he-IL"/>
        </w:rPr>
        <w:t xml:space="preserve"> כמו גם עולה בקנה אחד עם הוראות הסכם הממון שאושר כדין, ניתן לקבלו גם ללא אישור של ערכאה שיפוטית. </w:t>
      </w:r>
    </w:p>
    <w:p w14:paraId="7DCD42FE" w14:textId="0334B3AA" w:rsidR="005D5CA3" w:rsidRDefault="005D5CA3" w:rsidP="005D5CA3">
      <w:pPr>
        <w:pStyle w:val="af"/>
        <w:rPr>
          <w:rtl/>
          <w:lang w:eastAsia="he-IL"/>
        </w:rPr>
      </w:pPr>
      <w:r>
        <w:rPr>
          <w:rFonts w:hint="cs"/>
          <w:rtl/>
          <w:lang w:eastAsia="he-IL"/>
        </w:rPr>
        <w:t xml:space="preserve">כאמור, אם ההסכם היה קובע נכסים מסוימים נוספים שאינם ברי איזון, כי אז הייתה נדרשת זהירות יתירה ובחינה מדוקדקת של תום הלב </w:t>
      </w:r>
      <w:proofErr w:type="spellStart"/>
      <w:r>
        <w:rPr>
          <w:rFonts w:hint="cs"/>
          <w:rtl/>
          <w:lang w:eastAsia="he-IL"/>
        </w:rPr>
        <w:t>וגמירות</w:t>
      </w:r>
      <w:proofErr w:type="spellEnd"/>
      <w:r>
        <w:rPr>
          <w:rFonts w:hint="cs"/>
          <w:rtl/>
          <w:lang w:eastAsia="he-IL"/>
        </w:rPr>
        <w:t xml:space="preserve"> דעת. אולם כשהמשיב הביא 82% מתמורת הדירה, מכספים שהוחרגו בהסכם הממון שאושר בינואר 2006, ניתן לקבוע את תקפותו - גם ללא אישור ערכאה שיפוטית.</w:t>
      </w:r>
    </w:p>
    <w:p w14:paraId="468FF472" w14:textId="7DC60B85" w:rsidR="005D5CA3" w:rsidRDefault="005D5CA3" w:rsidP="005D5CA3">
      <w:pPr>
        <w:pStyle w:val="af"/>
        <w:rPr>
          <w:rtl/>
          <w:lang w:eastAsia="he-IL"/>
        </w:rPr>
      </w:pPr>
      <w:r>
        <w:rPr>
          <w:rFonts w:hint="cs"/>
          <w:rtl/>
          <w:lang w:eastAsia="he-IL"/>
        </w:rPr>
        <w:t xml:space="preserve">באשר לטענה של המערערת שהובטח לה בע"פ על כל שנת נישואין 2% מעבר ל- 18% שבהסכם, הרי אין דברים שבע"פ יכולים לסתור דברים שבכתב. </w:t>
      </w:r>
    </w:p>
    <w:p w14:paraId="1BA1A217" w14:textId="4B4DD016" w:rsidR="005D5CA3" w:rsidRDefault="005D5CA3" w:rsidP="005D5CA3">
      <w:pPr>
        <w:pStyle w:val="af"/>
        <w:rPr>
          <w:rtl/>
          <w:lang w:eastAsia="he-IL"/>
        </w:rPr>
      </w:pPr>
      <w:r>
        <w:rPr>
          <w:rFonts w:hint="cs"/>
          <w:rtl/>
          <w:lang w:eastAsia="he-IL"/>
        </w:rPr>
        <w:t xml:space="preserve">טוען ב"כ המערערת, שיכלה לטעון טענת מזויף, ואם כן נאמין לה </w:t>
      </w:r>
      <w:proofErr w:type="spellStart"/>
      <w:r>
        <w:rPr>
          <w:rFonts w:hint="cs"/>
          <w:rtl/>
          <w:lang w:eastAsia="he-IL"/>
        </w:rPr>
        <w:t>במיגו</w:t>
      </w:r>
      <w:proofErr w:type="spellEnd"/>
      <w:r>
        <w:rPr>
          <w:rFonts w:hint="cs"/>
          <w:rtl/>
          <w:lang w:eastAsia="he-IL"/>
        </w:rPr>
        <w:t xml:space="preserve"> שהיה תנאי שכזה </w:t>
      </w:r>
      <w:r w:rsidRPr="00680C45">
        <w:rPr>
          <w:rFonts w:hint="cs"/>
          <w:sz w:val="24"/>
          <w:szCs w:val="24"/>
          <w:rtl/>
          <w:lang w:eastAsia="he-IL"/>
        </w:rPr>
        <w:t xml:space="preserve">(ראה </w:t>
      </w:r>
      <w:proofErr w:type="spellStart"/>
      <w:r w:rsidRPr="00680C45">
        <w:rPr>
          <w:rFonts w:hint="cs"/>
          <w:sz w:val="24"/>
          <w:szCs w:val="24"/>
          <w:rtl/>
          <w:lang w:eastAsia="he-IL"/>
        </w:rPr>
        <w:t>שו"ע</w:t>
      </w:r>
      <w:proofErr w:type="spellEnd"/>
      <w:r w:rsidRPr="00680C45">
        <w:rPr>
          <w:rFonts w:hint="cs"/>
          <w:sz w:val="24"/>
          <w:szCs w:val="24"/>
          <w:rtl/>
          <w:lang w:eastAsia="he-IL"/>
        </w:rPr>
        <w:t xml:space="preserve"> </w:t>
      </w:r>
      <w:proofErr w:type="spellStart"/>
      <w:r w:rsidRPr="00680C45">
        <w:rPr>
          <w:rFonts w:hint="cs"/>
          <w:sz w:val="24"/>
          <w:szCs w:val="24"/>
          <w:rtl/>
          <w:lang w:eastAsia="he-IL"/>
        </w:rPr>
        <w:t>חו"מ</w:t>
      </w:r>
      <w:proofErr w:type="spellEnd"/>
      <w:r w:rsidRPr="00680C45">
        <w:rPr>
          <w:rFonts w:hint="cs"/>
          <w:sz w:val="24"/>
          <w:szCs w:val="24"/>
          <w:rtl/>
          <w:lang w:eastAsia="he-IL"/>
        </w:rPr>
        <w:t xml:space="preserve"> </w:t>
      </w:r>
      <w:proofErr w:type="spellStart"/>
      <w:r w:rsidRPr="00680C45">
        <w:rPr>
          <w:rFonts w:hint="cs"/>
          <w:sz w:val="24"/>
          <w:szCs w:val="24"/>
          <w:rtl/>
          <w:lang w:eastAsia="he-IL"/>
        </w:rPr>
        <w:t>פב,א</w:t>
      </w:r>
      <w:proofErr w:type="spellEnd"/>
      <w:r w:rsidRPr="00680C45">
        <w:rPr>
          <w:rFonts w:hint="cs"/>
          <w:sz w:val="24"/>
          <w:szCs w:val="24"/>
          <w:rtl/>
          <w:lang w:eastAsia="he-IL"/>
        </w:rPr>
        <w:t>)</w:t>
      </w:r>
      <w:r>
        <w:rPr>
          <w:rFonts w:hint="cs"/>
          <w:rtl/>
          <w:lang w:eastAsia="he-IL"/>
        </w:rPr>
        <w:t xml:space="preserve">. </w:t>
      </w:r>
    </w:p>
    <w:p w14:paraId="22D41CAE" w14:textId="1A01F2F5" w:rsidR="005D5CA3" w:rsidRDefault="005D5CA3" w:rsidP="005D5CA3">
      <w:pPr>
        <w:pStyle w:val="af"/>
        <w:rPr>
          <w:rtl/>
          <w:lang w:eastAsia="he-IL"/>
        </w:rPr>
      </w:pPr>
      <w:r>
        <w:rPr>
          <w:rFonts w:hint="cs"/>
          <w:rtl/>
          <w:lang w:eastAsia="he-IL"/>
        </w:rPr>
        <w:t xml:space="preserve">דא עקא, אין ספק שאם הייתה טוענת טענת מזויף, ניתן היה בקלות לקיים את חתימתה מכוח שטרות אחרים, או באמצעות גרפולוג משפטי, כך </w:t>
      </w:r>
      <w:proofErr w:type="spellStart"/>
      <w:r w:rsidR="003944AC">
        <w:rPr>
          <w:rFonts w:hint="cs"/>
          <w:rtl/>
          <w:lang w:eastAsia="he-IL"/>
        </w:rPr>
        <w:t>ד</w:t>
      </w:r>
      <w:r>
        <w:rPr>
          <w:rFonts w:hint="cs"/>
          <w:rtl/>
          <w:lang w:eastAsia="he-IL"/>
        </w:rPr>
        <w:t>מירתת</w:t>
      </w:r>
      <w:proofErr w:type="spellEnd"/>
      <w:r>
        <w:rPr>
          <w:rFonts w:hint="cs"/>
          <w:rtl/>
          <w:lang w:eastAsia="he-IL"/>
        </w:rPr>
        <w:t xml:space="preserve"> לטעון טענת מזויף, ואכמ"ל.</w:t>
      </w:r>
    </w:p>
    <w:p w14:paraId="3E5D0E43" w14:textId="23D9D690" w:rsidR="005D5CA3" w:rsidRDefault="005D5CA3" w:rsidP="005D5CA3">
      <w:pPr>
        <w:pStyle w:val="af"/>
        <w:rPr>
          <w:rtl/>
          <w:lang w:eastAsia="he-IL"/>
        </w:rPr>
      </w:pPr>
      <w:r>
        <w:rPr>
          <w:rFonts w:hint="cs"/>
          <w:rtl/>
          <w:lang w:eastAsia="he-IL"/>
        </w:rPr>
        <w:t xml:space="preserve">לאור האמור, לא מצאנו כל מקום להתערב בהחלטות כבוד בי"ד קמא, הן בהרכבו הקודם והן בהרכבו הנוכחי, שקבע את חלוקת הדירה ברחוב </w:t>
      </w:r>
      <w:r w:rsidR="00B27F69">
        <w:rPr>
          <w:rFonts w:hint="cs"/>
          <w:rtl/>
          <w:lang w:eastAsia="he-IL"/>
        </w:rPr>
        <w:t>א'</w:t>
      </w:r>
      <w:r>
        <w:rPr>
          <w:rFonts w:hint="cs"/>
          <w:rtl/>
          <w:lang w:eastAsia="he-IL"/>
        </w:rPr>
        <w:t>, בהתאם להסכם מיום 9.8.2009.</w:t>
      </w:r>
    </w:p>
    <w:p w14:paraId="12F8EC05" w14:textId="642E57D1" w:rsidR="005D5CA3" w:rsidRPr="007949F2" w:rsidRDefault="005D5CA3" w:rsidP="005D5CA3">
      <w:pPr>
        <w:pStyle w:val="-0"/>
        <w:rPr>
          <w:rtl/>
          <w:lang w:eastAsia="he-IL"/>
        </w:rPr>
      </w:pPr>
      <w:r w:rsidRPr="007949F2">
        <w:rPr>
          <w:rFonts w:hint="cs"/>
          <w:rtl/>
          <w:lang w:eastAsia="he-IL"/>
        </w:rPr>
        <w:t>סוף דבר</w:t>
      </w:r>
    </w:p>
    <w:p w14:paraId="728340D3" w14:textId="77777777" w:rsidR="005D5CA3" w:rsidRPr="005D5CA3" w:rsidRDefault="005D5CA3" w:rsidP="005D5CA3">
      <w:pPr>
        <w:pStyle w:val="ae"/>
        <w:rPr>
          <w:b/>
          <w:bCs/>
          <w:rtl/>
        </w:rPr>
      </w:pPr>
      <w:r w:rsidRPr="005D5CA3">
        <w:rPr>
          <w:rFonts w:hint="cs"/>
          <w:b/>
          <w:bCs/>
          <w:rtl/>
        </w:rPr>
        <w:t>הערעור נדחה, ללא חיוב בהוצאות.</w:t>
      </w:r>
    </w:p>
    <w:p w14:paraId="2510D82D" w14:textId="77777777" w:rsidR="005D5CA3" w:rsidRPr="00CD4289" w:rsidRDefault="00000000" w:rsidP="005D5CA3">
      <w:pPr>
        <w:pStyle w:val="af"/>
        <w:ind w:firstLine="0"/>
        <w:jc w:val="left"/>
        <w:rPr>
          <w:rtl/>
          <w:lang w:eastAsia="he-IL"/>
        </w:rPr>
      </w:pPr>
      <w:sdt>
        <w:sdtPr>
          <w:rPr>
            <w:rFonts w:hint="cs"/>
            <w:rtl/>
          </w:rPr>
          <w:alias w:val="DecisionAllowedPublish"/>
          <w:tag w:val="DecisionAllowedPublish"/>
          <w:id w:val="-958026483"/>
          <w:placeholder>
            <w:docPart w:val="68DBA532E59B41DAAFF89D409444EEFE"/>
          </w:placeholder>
          <w:text w:multiLine="1"/>
        </w:sdtPr>
        <w:sdtContent>
          <w:r w:rsidR="005D5CA3">
            <w:rPr>
              <w:rFonts w:hint="cs"/>
              <w:rtl/>
            </w:rPr>
            <w:t xml:space="preserve"> </w:t>
          </w:r>
        </w:sdtContent>
      </w:sdt>
    </w:p>
    <w:p w14:paraId="12420F84" w14:textId="77777777" w:rsidR="005D5CA3" w:rsidRDefault="005D5CA3" w:rsidP="005D5CA3">
      <w:pPr>
        <w:pStyle w:val="af"/>
        <w:ind w:firstLine="0"/>
        <w:jc w:val="left"/>
        <w:rPr>
          <w:sz w:val="28"/>
          <w:rtl/>
        </w:rPr>
      </w:pPr>
      <w:r w:rsidRPr="007406B6">
        <w:rPr>
          <w:rFonts w:hint="cs"/>
          <w:sz w:val="28"/>
          <w:rtl/>
        </w:rPr>
        <w:t xml:space="preserve">ניתן ביום </w:t>
      </w:r>
      <w:sdt>
        <w:sdtPr>
          <w:rPr>
            <w:sz w:val="28"/>
            <w:rtl/>
          </w:rPr>
          <w:alias w:val="SignatureHebDate"/>
          <w:tag w:val="SignatureHebDate"/>
          <w:id w:val="333033048"/>
          <w:placeholder>
            <w:docPart w:val="08F119B4217D4B7C85A22AB9B6CAAD3C"/>
          </w:placeholder>
        </w:sdtPr>
        <w:sdtContent>
          <w:r>
            <w:rPr>
              <w:sz w:val="28"/>
              <w:rtl/>
            </w:rPr>
            <w:t xml:space="preserve">ז' באדר </w:t>
          </w:r>
          <w:proofErr w:type="spellStart"/>
          <w:r>
            <w:rPr>
              <w:sz w:val="28"/>
              <w:rtl/>
            </w:rPr>
            <w:t>התשפ"ו</w:t>
          </w:r>
          <w:proofErr w:type="spellEnd"/>
        </w:sdtContent>
      </w:sdt>
      <w:r w:rsidRPr="007406B6">
        <w:rPr>
          <w:rFonts w:hint="cs"/>
          <w:sz w:val="28"/>
          <w:rtl/>
        </w:rPr>
        <w:t xml:space="preserve"> </w:t>
      </w:r>
      <w:r w:rsidRPr="00F33FF5">
        <w:rPr>
          <w:rFonts w:hint="cs"/>
          <w:sz w:val="24"/>
          <w:szCs w:val="24"/>
          <w:rtl/>
        </w:rPr>
        <w:t>(</w:t>
      </w:r>
      <w:sdt>
        <w:sdtPr>
          <w:rPr>
            <w:sz w:val="24"/>
            <w:szCs w:val="24"/>
            <w:rtl/>
          </w:rPr>
          <w:alias w:val="SignatureDate"/>
          <w:tag w:val="SignatureDate"/>
          <w:id w:val="-411708249"/>
          <w:placeholder>
            <w:docPart w:val="308424A61D614DF4A7CD5B7E27CAF887"/>
          </w:placeholder>
        </w:sdtPr>
        <w:sdtContent>
          <w:r w:rsidRPr="00F33FF5">
            <w:rPr>
              <w:sz w:val="24"/>
              <w:szCs w:val="24"/>
              <w:rtl/>
            </w:rPr>
            <w:t>24/02/2026</w:t>
          </w:r>
        </w:sdtContent>
      </w:sdt>
      <w:r w:rsidRPr="00F33FF5">
        <w:rPr>
          <w:rFonts w:hint="cs"/>
          <w:sz w:val="24"/>
          <w:szCs w:val="24"/>
          <w:rtl/>
        </w:rPr>
        <w:t>).</w:t>
      </w:r>
    </w:p>
    <w:p w14:paraId="77F24B0C" w14:textId="3DF8A509" w:rsidR="005D5CA3" w:rsidRPr="000155CC" w:rsidRDefault="005D5CA3" w:rsidP="005D5CA3">
      <w:pPr>
        <w:pStyle w:val="aff1"/>
        <w:rPr>
          <w:rtl/>
        </w:rPr>
      </w:pPr>
      <w:r w:rsidRPr="00BE2E0A">
        <w:rPr>
          <w:rFonts w:hint="cs"/>
          <w:sz w:val="28"/>
          <w:rtl/>
        </w:rPr>
        <w:t>הרב צבי בן יעקב</w:t>
      </w:r>
      <w:r>
        <w:rPr>
          <w:rFonts w:hint="cs"/>
          <w:sz w:val="28"/>
          <w:rtl/>
        </w:rPr>
        <w:t xml:space="preserve">                       </w:t>
      </w:r>
      <w:r w:rsidRPr="00BE2E0A">
        <w:rPr>
          <w:rFonts w:hint="cs"/>
          <w:sz w:val="28"/>
          <w:rtl/>
        </w:rPr>
        <w:t xml:space="preserve"> הרב דוד </w:t>
      </w:r>
      <w:proofErr w:type="spellStart"/>
      <w:r w:rsidRPr="00BE2E0A">
        <w:rPr>
          <w:rFonts w:hint="cs"/>
          <w:sz w:val="28"/>
          <w:rtl/>
        </w:rPr>
        <w:t>בירדוגו</w:t>
      </w:r>
      <w:proofErr w:type="spellEnd"/>
      <w:r>
        <w:rPr>
          <w:rFonts w:hint="cs"/>
          <w:sz w:val="28"/>
          <w:rtl/>
        </w:rPr>
        <w:t xml:space="preserve">                          </w:t>
      </w:r>
      <w:r w:rsidRPr="00BE2E0A">
        <w:rPr>
          <w:rFonts w:hint="cs"/>
          <w:sz w:val="28"/>
          <w:rtl/>
        </w:rPr>
        <w:t xml:space="preserve"> הרב משה </w:t>
      </w:r>
      <w:proofErr w:type="spellStart"/>
      <w:r w:rsidRPr="00BE2E0A">
        <w:rPr>
          <w:rFonts w:hint="cs"/>
          <w:sz w:val="28"/>
          <w:rtl/>
        </w:rPr>
        <w:t>אמסלם</w:t>
      </w:r>
      <w:proofErr w:type="spellEnd"/>
    </w:p>
    <w:p w14:paraId="30190EBA" w14:textId="77777777" w:rsidR="00F33FF5" w:rsidRDefault="00F33FF5" w:rsidP="00873CB9">
      <w:pPr>
        <w:pStyle w:val="ae"/>
        <w:rPr>
          <w:color w:val="7F7F7F" w:themeColor="text1" w:themeTint="80"/>
          <w:rtl/>
        </w:rPr>
      </w:pPr>
    </w:p>
    <w:p w14:paraId="2C10D3D3" w14:textId="75BEB455" w:rsidR="001A042C" w:rsidRDefault="00873CB9" w:rsidP="00873CB9">
      <w:pPr>
        <w:pStyle w:val="ae"/>
        <w:rPr>
          <w:rFonts w:eastAsia="Calibri"/>
          <w:rtl/>
        </w:rPr>
      </w:pPr>
      <w:r w:rsidRPr="001E50C8">
        <w:rPr>
          <w:rFonts w:hint="cs"/>
          <w:color w:val="7F7F7F" w:themeColor="text1" w:themeTint="80"/>
          <w:rtl/>
        </w:rPr>
        <w:t>עותק זה עשוי להכיל שינויי ותיקוני עריכה</w:t>
      </w:r>
    </w:p>
    <w:sectPr w:rsidR="001A042C" w:rsidSect="00ED4071">
      <w:headerReference w:type="default" r:id="rId11"/>
      <w:footerReference w:type="default" r:id="rId12"/>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1ACEA" w14:textId="77777777" w:rsidR="007C0BF9" w:rsidRDefault="007C0BF9" w:rsidP="00E2756A">
      <w:r>
        <w:separator/>
      </w:r>
    </w:p>
  </w:endnote>
  <w:endnote w:type="continuationSeparator" w:id="0">
    <w:p w14:paraId="5B47EB3A" w14:textId="77777777" w:rsidR="007C0BF9" w:rsidRDefault="007C0BF9"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766914458"/>
      <w:docPartObj>
        <w:docPartGallery w:val="Page Numbers (Bottom of Page)"/>
        <w:docPartUnique/>
      </w:docPartObj>
    </w:sdtPr>
    <w:sdtContent>
      <w:p w14:paraId="3853C780" w14:textId="77777777" w:rsidR="005C4F42" w:rsidRDefault="005C4F42" w:rsidP="00F4312B">
        <w:pPr>
          <w:pStyle w:val="aff5"/>
          <w:jc w:val="center"/>
        </w:pPr>
        <w:r>
          <w:fldChar w:fldCharType="begin"/>
        </w:r>
        <w:r>
          <w:rPr>
            <w:rtl/>
            <w:cs/>
          </w:rPr>
          <w:instrText>PAGE   \* MERGEFORMAT</w:instrText>
        </w:r>
        <w:r>
          <w:fldChar w:fldCharType="separate"/>
        </w:r>
        <w:r w:rsidR="002C58F5" w:rsidRPr="002C58F5">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5C8CE" w14:textId="77777777" w:rsidR="007C0BF9" w:rsidRDefault="007C0BF9" w:rsidP="00E2756A">
      <w:r>
        <w:separator/>
      </w:r>
    </w:p>
  </w:footnote>
  <w:footnote w:type="continuationSeparator" w:id="0">
    <w:p w14:paraId="0D682C61" w14:textId="77777777" w:rsidR="007C0BF9" w:rsidRDefault="007C0BF9"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DEAC" w14:textId="77777777" w:rsidR="005C4F42" w:rsidRDefault="005C4F42" w:rsidP="00FA1DAB">
    <w:pPr>
      <w:pStyle w:val="aff3"/>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07CC4DD2" w14:textId="77777777" w:rsidR="005C4F42" w:rsidRDefault="005C4F42" w:rsidP="00FA1DAB">
    <w:pPr>
      <w:pStyle w:val="aff3"/>
      <w:jc w:val="center"/>
      <w:rPr>
        <w:rFonts w:cs="David"/>
        <w:b/>
        <w:bCs/>
        <w:color w:val="1F497D" w:themeColor="text2"/>
        <w:sz w:val="32"/>
        <w:szCs w:val="32"/>
      </w:rPr>
    </w:pPr>
    <w:r>
      <w:rPr>
        <w:rFonts w:cs="David" w:hint="cs"/>
        <w:b/>
        <w:bCs/>
        <w:color w:val="1F497D" w:themeColor="text2"/>
        <w:sz w:val="32"/>
        <w:szCs w:val="32"/>
        <w:rtl/>
      </w:rPr>
      <w:t>בתי הדין הרבניים</w:t>
    </w:r>
  </w:p>
  <w:p w14:paraId="43D222E4" w14:textId="77777777" w:rsidR="005C4F42" w:rsidRDefault="005C4F42">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93AEA"/>
    <w:multiLevelType w:val="hybridMultilevel"/>
    <w:tmpl w:val="D32268AC"/>
    <w:lvl w:ilvl="0" w:tplc="52F037CC">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2" w15:restartNumberingAfterBreak="0">
    <w:nsid w:val="1CDB2FB4"/>
    <w:multiLevelType w:val="hybridMultilevel"/>
    <w:tmpl w:val="5B0C5E34"/>
    <w:lvl w:ilvl="0" w:tplc="5EAA2EBA">
      <w:start w:val="1"/>
      <w:numFmt w:val="hebrew1"/>
      <w:lvlText w:val="%1."/>
      <w:lvlJc w:val="left"/>
      <w:pPr>
        <w:ind w:left="720" w:hanging="360"/>
      </w:pPr>
      <w:rPr>
        <w:b/>
        <w:bCs/>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4" w15:restartNumberingAfterBreak="0">
    <w:nsid w:val="2270666B"/>
    <w:multiLevelType w:val="hybridMultilevel"/>
    <w:tmpl w:val="0F987946"/>
    <w:lvl w:ilvl="0" w:tplc="F58C84DA">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26205436"/>
    <w:multiLevelType w:val="hybridMultilevel"/>
    <w:tmpl w:val="DF1CB2E8"/>
    <w:lvl w:ilvl="0" w:tplc="92AC555A">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6" w15:restartNumberingAfterBreak="0">
    <w:nsid w:val="2AD0193B"/>
    <w:multiLevelType w:val="hybridMultilevel"/>
    <w:tmpl w:val="926232AA"/>
    <w:lvl w:ilvl="0" w:tplc="2DC4434E">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30667B78"/>
    <w:multiLevelType w:val="hybridMultilevel"/>
    <w:tmpl w:val="D0B686A4"/>
    <w:lvl w:ilvl="0" w:tplc="1354BBAC">
      <w:start w:val="1"/>
      <w:numFmt w:val="decimal"/>
      <w:lvlText w:val="%1."/>
      <w:lvlJc w:val="left"/>
      <w:pPr>
        <w:tabs>
          <w:tab w:val="num" w:pos="720"/>
        </w:tabs>
        <w:ind w:left="720" w:right="720" w:hanging="360"/>
      </w:pPr>
    </w:lvl>
    <w:lvl w:ilvl="1" w:tplc="3E94FCA2" w:tentative="1">
      <w:start w:val="1"/>
      <w:numFmt w:val="lowerLetter"/>
      <w:lvlText w:val="%2."/>
      <w:lvlJc w:val="left"/>
      <w:pPr>
        <w:tabs>
          <w:tab w:val="num" w:pos="1440"/>
        </w:tabs>
        <w:ind w:left="1440" w:right="1440" w:hanging="360"/>
      </w:pPr>
    </w:lvl>
    <w:lvl w:ilvl="2" w:tplc="8132CFF2" w:tentative="1">
      <w:start w:val="1"/>
      <w:numFmt w:val="lowerRoman"/>
      <w:lvlText w:val="%3."/>
      <w:lvlJc w:val="right"/>
      <w:pPr>
        <w:tabs>
          <w:tab w:val="num" w:pos="2160"/>
        </w:tabs>
        <w:ind w:left="2160" w:right="2160" w:hanging="180"/>
      </w:pPr>
    </w:lvl>
    <w:lvl w:ilvl="3" w:tplc="35DED86C" w:tentative="1">
      <w:start w:val="1"/>
      <w:numFmt w:val="decimal"/>
      <w:lvlText w:val="%4."/>
      <w:lvlJc w:val="left"/>
      <w:pPr>
        <w:tabs>
          <w:tab w:val="num" w:pos="2880"/>
        </w:tabs>
        <w:ind w:left="2880" w:right="2880" w:hanging="360"/>
      </w:pPr>
    </w:lvl>
    <w:lvl w:ilvl="4" w:tplc="69F0B5CA" w:tentative="1">
      <w:start w:val="1"/>
      <w:numFmt w:val="lowerLetter"/>
      <w:lvlText w:val="%5."/>
      <w:lvlJc w:val="left"/>
      <w:pPr>
        <w:tabs>
          <w:tab w:val="num" w:pos="3600"/>
        </w:tabs>
        <w:ind w:left="3600" w:right="3600" w:hanging="360"/>
      </w:pPr>
    </w:lvl>
    <w:lvl w:ilvl="5" w:tplc="B0760CC8" w:tentative="1">
      <w:start w:val="1"/>
      <w:numFmt w:val="lowerRoman"/>
      <w:lvlText w:val="%6."/>
      <w:lvlJc w:val="right"/>
      <w:pPr>
        <w:tabs>
          <w:tab w:val="num" w:pos="4320"/>
        </w:tabs>
        <w:ind w:left="4320" w:right="4320" w:hanging="180"/>
      </w:pPr>
    </w:lvl>
    <w:lvl w:ilvl="6" w:tplc="B764EE7E" w:tentative="1">
      <w:start w:val="1"/>
      <w:numFmt w:val="decimal"/>
      <w:lvlText w:val="%7."/>
      <w:lvlJc w:val="left"/>
      <w:pPr>
        <w:tabs>
          <w:tab w:val="num" w:pos="5040"/>
        </w:tabs>
        <w:ind w:left="5040" w:right="5040" w:hanging="360"/>
      </w:pPr>
    </w:lvl>
    <w:lvl w:ilvl="7" w:tplc="20A007AA" w:tentative="1">
      <w:start w:val="1"/>
      <w:numFmt w:val="lowerLetter"/>
      <w:lvlText w:val="%8."/>
      <w:lvlJc w:val="left"/>
      <w:pPr>
        <w:tabs>
          <w:tab w:val="num" w:pos="5760"/>
        </w:tabs>
        <w:ind w:left="5760" w:right="5760" w:hanging="360"/>
      </w:pPr>
    </w:lvl>
    <w:lvl w:ilvl="8" w:tplc="592ED114" w:tentative="1">
      <w:start w:val="1"/>
      <w:numFmt w:val="lowerRoman"/>
      <w:lvlText w:val="%9."/>
      <w:lvlJc w:val="right"/>
      <w:pPr>
        <w:tabs>
          <w:tab w:val="num" w:pos="6480"/>
        </w:tabs>
        <w:ind w:left="6480" w:right="6480" w:hanging="180"/>
      </w:pPr>
    </w:lvl>
  </w:abstractNum>
  <w:abstractNum w:abstractNumId="8" w15:restartNumberingAfterBreak="0">
    <w:nsid w:val="31831E55"/>
    <w:multiLevelType w:val="hybridMultilevel"/>
    <w:tmpl w:val="5E60167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F1B3B65"/>
    <w:multiLevelType w:val="hybridMultilevel"/>
    <w:tmpl w:val="AEE034B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56B6204"/>
    <w:multiLevelType w:val="hybridMultilevel"/>
    <w:tmpl w:val="37C87992"/>
    <w:lvl w:ilvl="0" w:tplc="3808D2D4">
      <w:start w:val="1"/>
      <w:numFmt w:val="hebrew1"/>
      <w:lvlText w:val="%1."/>
      <w:lvlJc w:val="left"/>
      <w:pPr>
        <w:ind w:left="720" w:hanging="360"/>
      </w:pPr>
      <w:rPr>
        <w:b/>
        <w:bCs/>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7CE4963"/>
    <w:multiLevelType w:val="hybridMultilevel"/>
    <w:tmpl w:val="8076CBB0"/>
    <w:lvl w:ilvl="0" w:tplc="CC7C4A10">
      <w:start w:val="1"/>
      <w:numFmt w:val="hebrew1"/>
      <w:lvlText w:val="%1."/>
      <w:lvlJc w:val="left"/>
      <w:pPr>
        <w:ind w:left="720" w:hanging="360"/>
      </w:pPr>
      <w:rPr>
        <w:b/>
        <w:bCs/>
        <w:sz w:val="32"/>
        <w:szCs w:val="3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85F0AEF"/>
    <w:multiLevelType w:val="hybridMultilevel"/>
    <w:tmpl w:val="84A2BB96"/>
    <w:lvl w:ilvl="0" w:tplc="B748D8D2">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06D03AE"/>
    <w:multiLevelType w:val="hybridMultilevel"/>
    <w:tmpl w:val="9C864CDA"/>
    <w:lvl w:ilvl="0" w:tplc="3EF49242">
      <w:start w:val="1"/>
      <w:numFmt w:val="decimal"/>
      <w:lvlText w:val="%1."/>
      <w:lvlJc w:val="left"/>
      <w:pPr>
        <w:ind w:left="20" w:hanging="360"/>
      </w:pPr>
    </w:lvl>
    <w:lvl w:ilvl="1" w:tplc="04090019">
      <w:start w:val="1"/>
      <w:numFmt w:val="lowerLetter"/>
      <w:lvlText w:val="%2."/>
      <w:lvlJc w:val="left"/>
      <w:pPr>
        <w:ind w:left="740" w:hanging="360"/>
      </w:pPr>
    </w:lvl>
    <w:lvl w:ilvl="2" w:tplc="0409001B">
      <w:start w:val="1"/>
      <w:numFmt w:val="lowerRoman"/>
      <w:lvlText w:val="%3."/>
      <w:lvlJc w:val="right"/>
      <w:pPr>
        <w:ind w:left="1460" w:hanging="180"/>
      </w:pPr>
    </w:lvl>
    <w:lvl w:ilvl="3" w:tplc="0409000F">
      <w:start w:val="1"/>
      <w:numFmt w:val="decimal"/>
      <w:lvlText w:val="%4."/>
      <w:lvlJc w:val="left"/>
      <w:pPr>
        <w:ind w:left="2180" w:hanging="360"/>
      </w:pPr>
    </w:lvl>
    <w:lvl w:ilvl="4" w:tplc="04090019">
      <w:start w:val="1"/>
      <w:numFmt w:val="lowerLetter"/>
      <w:lvlText w:val="%5."/>
      <w:lvlJc w:val="left"/>
      <w:pPr>
        <w:ind w:left="2900" w:hanging="360"/>
      </w:pPr>
    </w:lvl>
    <w:lvl w:ilvl="5" w:tplc="0409001B">
      <w:start w:val="1"/>
      <w:numFmt w:val="lowerRoman"/>
      <w:lvlText w:val="%6."/>
      <w:lvlJc w:val="right"/>
      <w:pPr>
        <w:ind w:left="3620" w:hanging="180"/>
      </w:pPr>
    </w:lvl>
    <w:lvl w:ilvl="6" w:tplc="0409000F">
      <w:start w:val="1"/>
      <w:numFmt w:val="decimal"/>
      <w:lvlText w:val="%7."/>
      <w:lvlJc w:val="left"/>
      <w:pPr>
        <w:ind w:left="4340" w:hanging="360"/>
      </w:pPr>
    </w:lvl>
    <w:lvl w:ilvl="7" w:tplc="04090019">
      <w:start w:val="1"/>
      <w:numFmt w:val="lowerLetter"/>
      <w:lvlText w:val="%8."/>
      <w:lvlJc w:val="left"/>
      <w:pPr>
        <w:ind w:left="5060" w:hanging="360"/>
      </w:pPr>
    </w:lvl>
    <w:lvl w:ilvl="8" w:tplc="0409001B">
      <w:start w:val="1"/>
      <w:numFmt w:val="lowerRoman"/>
      <w:lvlText w:val="%9."/>
      <w:lvlJc w:val="right"/>
      <w:pPr>
        <w:ind w:left="5780" w:hanging="180"/>
      </w:pPr>
    </w:lvl>
  </w:abstractNum>
  <w:abstractNum w:abstractNumId="15"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16" w15:restartNumberingAfterBreak="0">
    <w:nsid w:val="664D5B8B"/>
    <w:multiLevelType w:val="hybridMultilevel"/>
    <w:tmpl w:val="FB78DD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9B6346A"/>
    <w:multiLevelType w:val="hybridMultilevel"/>
    <w:tmpl w:val="7C70491A"/>
    <w:lvl w:ilvl="0" w:tplc="FA7E540A">
      <w:start w:val="1"/>
      <w:numFmt w:val="hebrew1"/>
      <w:lvlText w:val="%1)"/>
      <w:lvlJc w:val="left"/>
      <w:pPr>
        <w:ind w:left="309" w:hanging="360"/>
      </w:pPr>
    </w:lvl>
    <w:lvl w:ilvl="1" w:tplc="04090019">
      <w:start w:val="1"/>
      <w:numFmt w:val="lowerLetter"/>
      <w:lvlText w:val="%2."/>
      <w:lvlJc w:val="left"/>
      <w:pPr>
        <w:ind w:left="1029" w:hanging="360"/>
      </w:pPr>
    </w:lvl>
    <w:lvl w:ilvl="2" w:tplc="0409001B">
      <w:start w:val="1"/>
      <w:numFmt w:val="lowerRoman"/>
      <w:lvlText w:val="%3."/>
      <w:lvlJc w:val="right"/>
      <w:pPr>
        <w:ind w:left="1749" w:hanging="180"/>
      </w:pPr>
    </w:lvl>
    <w:lvl w:ilvl="3" w:tplc="0409000F">
      <w:start w:val="1"/>
      <w:numFmt w:val="decimal"/>
      <w:lvlText w:val="%4."/>
      <w:lvlJc w:val="left"/>
      <w:pPr>
        <w:ind w:left="2469" w:hanging="360"/>
      </w:pPr>
    </w:lvl>
    <w:lvl w:ilvl="4" w:tplc="04090019">
      <w:start w:val="1"/>
      <w:numFmt w:val="lowerLetter"/>
      <w:lvlText w:val="%5."/>
      <w:lvlJc w:val="left"/>
      <w:pPr>
        <w:ind w:left="3189" w:hanging="360"/>
      </w:pPr>
    </w:lvl>
    <w:lvl w:ilvl="5" w:tplc="0409001B">
      <w:start w:val="1"/>
      <w:numFmt w:val="lowerRoman"/>
      <w:lvlText w:val="%6."/>
      <w:lvlJc w:val="right"/>
      <w:pPr>
        <w:ind w:left="3909" w:hanging="180"/>
      </w:pPr>
    </w:lvl>
    <w:lvl w:ilvl="6" w:tplc="0409000F">
      <w:start w:val="1"/>
      <w:numFmt w:val="decimal"/>
      <w:lvlText w:val="%7."/>
      <w:lvlJc w:val="left"/>
      <w:pPr>
        <w:ind w:left="4629" w:hanging="360"/>
      </w:pPr>
    </w:lvl>
    <w:lvl w:ilvl="7" w:tplc="04090019">
      <w:start w:val="1"/>
      <w:numFmt w:val="lowerLetter"/>
      <w:lvlText w:val="%8."/>
      <w:lvlJc w:val="left"/>
      <w:pPr>
        <w:ind w:left="5349" w:hanging="360"/>
      </w:pPr>
    </w:lvl>
    <w:lvl w:ilvl="8" w:tplc="0409001B">
      <w:start w:val="1"/>
      <w:numFmt w:val="lowerRoman"/>
      <w:lvlText w:val="%9."/>
      <w:lvlJc w:val="right"/>
      <w:pPr>
        <w:ind w:left="6069" w:hanging="180"/>
      </w:pPr>
    </w:lvl>
  </w:abstractNum>
  <w:abstractNum w:abstractNumId="19" w15:restartNumberingAfterBreak="0">
    <w:nsid w:val="6BA85669"/>
    <w:multiLevelType w:val="hybridMultilevel"/>
    <w:tmpl w:val="9E64E644"/>
    <w:lvl w:ilvl="0" w:tplc="5E6016F0">
      <w:start w:val="1"/>
      <w:numFmt w:val="hebrew1"/>
      <w:lvlText w:val="%1."/>
      <w:lvlJc w:val="left"/>
      <w:pPr>
        <w:ind w:left="360" w:hanging="360"/>
      </w:pPr>
      <w:rPr>
        <w:b/>
        <w:bCs/>
        <w:sz w:val="28"/>
        <w:szCs w:val="28"/>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21" w15:restartNumberingAfterBreak="0">
    <w:nsid w:val="6CB11A54"/>
    <w:multiLevelType w:val="hybridMultilevel"/>
    <w:tmpl w:val="F88EE728"/>
    <w:lvl w:ilvl="0" w:tplc="A72E027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1CB42AA"/>
    <w:multiLevelType w:val="hybridMultilevel"/>
    <w:tmpl w:val="5A6071A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302D42"/>
    <w:multiLevelType w:val="hybridMultilevel"/>
    <w:tmpl w:val="AF840FF4"/>
    <w:lvl w:ilvl="0" w:tplc="67F0BD3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275723049">
    <w:abstractNumId w:val="15"/>
  </w:num>
  <w:num w:numId="2" w16cid:durableId="1217474447">
    <w:abstractNumId w:val="17"/>
  </w:num>
  <w:num w:numId="3" w16cid:durableId="493028407">
    <w:abstractNumId w:val="9"/>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13094368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67562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36786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6696868">
    <w:abstractNumId w:val="9"/>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8" w16cid:durableId="1788618661">
    <w:abstractNumId w:val="9"/>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9" w16cid:durableId="9923671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2997793">
    <w:abstractNumId w:val="9"/>
    <w:lvlOverride w:ilvl="0">
      <w:lvl w:ilvl="0">
        <w:start w:val="1"/>
        <w:numFmt w:val="decimal"/>
        <w:pStyle w:val="11"/>
        <w:lvlText w:val="%1."/>
        <w:lvlJc w:val="left"/>
        <w:pPr>
          <w:tabs>
            <w:tab w:val="num" w:pos="567"/>
          </w:tabs>
          <w:ind w:left="567" w:hanging="567"/>
        </w:pPr>
      </w:lvl>
    </w:lvlOverride>
    <w:lvlOverride w:ilvl="1">
      <w:lvl w:ilvl="1">
        <w:start w:val="1"/>
        <w:numFmt w:val="hebrew1"/>
        <w:lvlText w:val="(%2)"/>
        <w:lvlJc w:val="left"/>
        <w:pPr>
          <w:tabs>
            <w:tab w:val="num" w:pos="1134"/>
          </w:tabs>
          <w:ind w:left="1134" w:hanging="567"/>
        </w:pPr>
      </w:lvl>
    </w:lvlOverride>
    <w:lvlOverride w:ilvl="2">
      <w:lvl w:ilvl="2">
        <w:start w:val="1"/>
        <w:numFmt w:val="decimal"/>
        <w:lvlText w:val="(%3)"/>
        <w:lvlJc w:val="left"/>
        <w:pPr>
          <w:tabs>
            <w:tab w:val="num" w:pos="1701"/>
          </w:tabs>
          <w:ind w:left="1701" w:hanging="567"/>
        </w:pPr>
      </w:lvl>
    </w:lvlOverride>
    <w:lvlOverride w:ilvl="3">
      <w:lvl w:ilvl="3">
        <w:start w:val="1"/>
        <w:numFmt w:val="hebrew1"/>
        <w:lvlText w:val="(%4)"/>
        <w:lvlJc w:val="left"/>
        <w:pPr>
          <w:tabs>
            <w:tab w:val="num" w:pos="2268"/>
          </w:tabs>
          <w:ind w:left="2268" w:hanging="567"/>
        </w:pPr>
      </w:lvl>
    </w:lvlOverride>
    <w:lvlOverride w:ilvl="4">
      <w:lvl w:ilvl="4">
        <w:start w:val="1"/>
        <w:numFmt w:val="decimal"/>
        <w:lvlText w:val="%5."/>
        <w:lvlJc w:val="left"/>
        <w:pPr>
          <w:tabs>
            <w:tab w:val="num" w:pos="2835"/>
          </w:tabs>
          <w:ind w:left="2835" w:hanging="567"/>
        </w:pPr>
      </w:lvl>
    </w:lvlOverride>
    <w:lvlOverride w:ilvl="5">
      <w:lvl w:ilvl="5">
        <w:start w:val="1"/>
        <w:numFmt w:val="decimal"/>
        <w:lvlText w:val="%6."/>
        <w:lvlJc w:val="left"/>
        <w:pPr>
          <w:tabs>
            <w:tab w:val="num" w:pos="3402"/>
          </w:tabs>
          <w:ind w:left="3402" w:hanging="567"/>
        </w:pPr>
      </w:lvl>
    </w:lvlOverride>
    <w:lvlOverride w:ilvl="6">
      <w:lvl w:ilvl="6">
        <w:start w:val="1"/>
        <w:numFmt w:val="decimal"/>
        <w:lvlText w:val="%7."/>
        <w:lvlJc w:val="left"/>
        <w:pPr>
          <w:tabs>
            <w:tab w:val="num" w:pos="3969"/>
          </w:tabs>
          <w:ind w:left="3969" w:hanging="567"/>
        </w:pPr>
      </w:lvl>
    </w:lvlOverride>
    <w:lvlOverride w:ilvl="7">
      <w:lvl w:ilvl="7">
        <w:start w:val="1"/>
        <w:numFmt w:val="decimal"/>
        <w:lvlText w:val="%8."/>
        <w:lvlJc w:val="left"/>
        <w:pPr>
          <w:tabs>
            <w:tab w:val="num" w:pos="4536"/>
          </w:tabs>
          <w:ind w:left="4536" w:hanging="567"/>
        </w:pPr>
      </w:lvl>
    </w:lvlOverride>
    <w:lvlOverride w:ilvl="8">
      <w:lvl w:ilvl="8">
        <w:start w:val="1"/>
        <w:numFmt w:val="decimal"/>
        <w:lvlText w:val="%9."/>
        <w:lvlJc w:val="left"/>
        <w:pPr>
          <w:tabs>
            <w:tab w:val="num" w:pos="5103"/>
          </w:tabs>
          <w:ind w:left="5103" w:hanging="567"/>
        </w:pPr>
      </w:lvl>
    </w:lvlOverride>
  </w:num>
  <w:num w:numId="11" w16cid:durableId="608341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4243102">
    <w:abstractNumId w:val="6"/>
  </w:num>
  <w:num w:numId="13" w16cid:durableId="1484926303">
    <w:abstractNumId w:val="17"/>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cs="Narkisim" w:hint="cs"/>
          <w:bCs/>
          <w:iCs/>
          <w:szCs w:val="18"/>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4" w16cid:durableId="422146097">
    <w:abstractNumId w:val="17"/>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 w16cid:durableId="76754670">
    <w:abstractNumId w:val="7"/>
  </w:num>
  <w:num w:numId="16" w16cid:durableId="201134706">
    <w:abstractNumId w:val="0"/>
  </w:num>
  <w:num w:numId="17" w16cid:durableId="738136950">
    <w:abstractNumId w:val="3"/>
  </w:num>
  <w:num w:numId="18" w16cid:durableId="11313639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3990635">
    <w:abstractNumId w:val="8"/>
  </w:num>
  <w:num w:numId="20" w16cid:durableId="17919012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794849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30865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85684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9835040">
    <w:abstractNumId w:val="1"/>
  </w:num>
  <w:num w:numId="25" w16cid:durableId="779185573">
    <w:abstractNumId w:val="20"/>
  </w:num>
  <w:num w:numId="26" w16cid:durableId="125910198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511836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336504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03960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601043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309452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33230183">
    <w:abstractNumId w:val="22"/>
  </w:num>
  <w:num w:numId="33" w16cid:durableId="13613247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932127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CB9"/>
    <w:rsid w:val="00006421"/>
    <w:rsid w:val="00007AAC"/>
    <w:rsid w:val="00047688"/>
    <w:rsid w:val="000503D0"/>
    <w:rsid w:val="000733BF"/>
    <w:rsid w:val="000C6ECB"/>
    <w:rsid w:val="000E0573"/>
    <w:rsid w:val="000F3D3C"/>
    <w:rsid w:val="000F6784"/>
    <w:rsid w:val="00141834"/>
    <w:rsid w:val="00143189"/>
    <w:rsid w:val="001463AE"/>
    <w:rsid w:val="00167A43"/>
    <w:rsid w:val="0017301A"/>
    <w:rsid w:val="0018486C"/>
    <w:rsid w:val="001967DF"/>
    <w:rsid w:val="001A042C"/>
    <w:rsid w:val="001D1878"/>
    <w:rsid w:val="001E35DA"/>
    <w:rsid w:val="001E62D6"/>
    <w:rsid w:val="001F3BB4"/>
    <w:rsid w:val="00204DAE"/>
    <w:rsid w:val="0026102F"/>
    <w:rsid w:val="002A5312"/>
    <w:rsid w:val="002C58F5"/>
    <w:rsid w:val="002D3CEE"/>
    <w:rsid w:val="002F6A54"/>
    <w:rsid w:val="00331442"/>
    <w:rsid w:val="00336118"/>
    <w:rsid w:val="00351B33"/>
    <w:rsid w:val="003772D4"/>
    <w:rsid w:val="003832F1"/>
    <w:rsid w:val="00387082"/>
    <w:rsid w:val="003944AC"/>
    <w:rsid w:val="00397A64"/>
    <w:rsid w:val="003B2EE9"/>
    <w:rsid w:val="003B386C"/>
    <w:rsid w:val="003D0A52"/>
    <w:rsid w:val="003E6E03"/>
    <w:rsid w:val="004008A7"/>
    <w:rsid w:val="00403D72"/>
    <w:rsid w:val="00444DC3"/>
    <w:rsid w:val="00445DE0"/>
    <w:rsid w:val="00460F4E"/>
    <w:rsid w:val="00463BFC"/>
    <w:rsid w:val="00467D95"/>
    <w:rsid w:val="00473811"/>
    <w:rsid w:val="00473F83"/>
    <w:rsid w:val="00482C8E"/>
    <w:rsid w:val="00493D5A"/>
    <w:rsid w:val="004A70E1"/>
    <w:rsid w:val="004B2706"/>
    <w:rsid w:val="004B71CD"/>
    <w:rsid w:val="004D4898"/>
    <w:rsid w:val="004D5C89"/>
    <w:rsid w:val="004D747B"/>
    <w:rsid w:val="004E46AC"/>
    <w:rsid w:val="004F2AAB"/>
    <w:rsid w:val="005016EF"/>
    <w:rsid w:val="0051147D"/>
    <w:rsid w:val="00515192"/>
    <w:rsid w:val="00542D5D"/>
    <w:rsid w:val="005452D2"/>
    <w:rsid w:val="005564F3"/>
    <w:rsid w:val="005605C5"/>
    <w:rsid w:val="00581FFA"/>
    <w:rsid w:val="00582096"/>
    <w:rsid w:val="005C4F42"/>
    <w:rsid w:val="005D5CA3"/>
    <w:rsid w:val="006040E7"/>
    <w:rsid w:val="006107D4"/>
    <w:rsid w:val="00621046"/>
    <w:rsid w:val="00644E42"/>
    <w:rsid w:val="0065626D"/>
    <w:rsid w:val="00661492"/>
    <w:rsid w:val="00670A3C"/>
    <w:rsid w:val="00680C45"/>
    <w:rsid w:val="00691DA2"/>
    <w:rsid w:val="006B66A4"/>
    <w:rsid w:val="006D2102"/>
    <w:rsid w:val="006E7140"/>
    <w:rsid w:val="006E7815"/>
    <w:rsid w:val="00716B42"/>
    <w:rsid w:val="00723950"/>
    <w:rsid w:val="0075572F"/>
    <w:rsid w:val="007A0A66"/>
    <w:rsid w:val="007A5E21"/>
    <w:rsid w:val="007B25A9"/>
    <w:rsid w:val="007C0B59"/>
    <w:rsid w:val="007C0BF9"/>
    <w:rsid w:val="007C14A1"/>
    <w:rsid w:val="007C2D55"/>
    <w:rsid w:val="007E581E"/>
    <w:rsid w:val="007E77A4"/>
    <w:rsid w:val="00806974"/>
    <w:rsid w:val="00823169"/>
    <w:rsid w:val="008429F3"/>
    <w:rsid w:val="00845771"/>
    <w:rsid w:val="00854AA3"/>
    <w:rsid w:val="008612C3"/>
    <w:rsid w:val="00873CB9"/>
    <w:rsid w:val="008807C9"/>
    <w:rsid w:val="00883EAA"/>
    <w:rsid w:val="00891385"/>
    <w:rsid w:val="008A683B"/>
    <w:rsid w:val="008A7D5D"/>
    <w:rsid w:val="008C433A"/>
    <w:rsid w:val="008E5955"/>
    <w:rsid w:val="008F38FD"/>
    <w:rsid w:val="009403D8"/>
    <w:rsid w:val="009679A7"/>
    <w:rsid w:val="009B7441"/>
    <w:rsid w:val="009D23D6"/>
    <w:rsid w:val="009F2662"/>
    <w:rsid w:val="00A15740"/>
    <w:rsid w:val="00A165F5"/>
    <w:rsid w:val="00AC3C3B"/>
    <w:rsid w:val="00AE0944"/>
    <w:rsid w:val="00AF7330"/>
    <w:rsid w:val="00B27F69"/>
    <w:rsid w:val="00B629CF"/>
    <w:rsid w:val="00B91EE4"/>
    <w:rsid w:val="00BB720B"/>
    <w:rsid w:val="00BB7B01"/>
    <w:rsid w:val="00BC1FF3"/>
    <w:rsid w:val="00BC2954"/>
    <w:rsid w:val="00BD18F7"/>
    <w:rsid w:val="00BE09F6"/>
    <w:rsid w:val="00BF58F9"/>
    <w:rsid w:val="00BF7C9F"/>
    <w:rsid w:val="00C07E82"/>
    <w:rsid w:val="00C17BEA"/>
    <w:rsid w:val="00C426B1"/>
    <w:rsid w:val="00C61598"/>
    <w:rsid w:val="00C74993"/>
    <w:rsid w:val="00C85A9B"/>
    <w:rsid w:val="00C8609C"/>
    <w:rsid w:val="00C957FA"/>
    <w:rsid w:val="00CA5144"/>
    <w:rsid w:val="00CB4524"/>
    <w:rsid w:val="00CD3C23"/>
    <w:rsid w:val="00CD70E7"/>
    <w:rsid w:val="00CE18E3"/>
    <w:rsid w:val="00D01A98"/>
    <w:rsid w:val="00D1058F"/>
    <w:rsid w:val="00D23FC1"/>
    <w:rsid w:val="00D362E5"/>
    <w:rsid w:val="00D41648"/>
    <w:rsid w:val="00D77F78"/>
    <w:rsid w:val="00D93CE5"/>
    <w:rsid w:val="00DA2C8B"/>
    <w:rsid w:val="00DB7CB8"/>
    <w:rsid w:val="00DE152D"/>
    <w:rsid w:val="00DE7442"/>
    <w:rsid w:val="00DF366C"/>
    <w:rsid w:val="00DF57C1"/>
    <w:rsid w:val="00E104C3"/>
    <w:rsid w:val="00E2756A"/>
    <w:rsid w:val="00E3002C"/>
    <w:rsid w:val="00E311D4"/>
    <w:rsid w:val="00E478DE"/>
    <w:rsid w:val="00E6660F"/>
    <w:rsid w:val="00E72D88"/>
    <w:rsid w:val="00E74940"/>
    <w:rsid w:val="00EA0A6F"/>
    <w:rsid w:val="00EB36FE"/>
    <w:rsid w:val="00ED0D18"/>
    <w:rsid w:val="00ED4071"/>
    <w:rsid w:val="00ED540D"/>
    <w:rsid w:val="00EE1DB1"/>
    <w:rsid w:val="00F01359"/>
    <w:rsid w:val="00F33FF5"/>
    <w:rsid w:val="00F4312B"/>
    <w:rsid w:val="00F56183"/>
    <w:rsid w:val="00FA1A5E"/>
    <w:rsid w:val="00FA1DAB"/>
    <w:rsid w:val="00FB09BF"/>
    <w:rsid w:val="00FC2886"/>
    <w:rsid w:val="00FD608C"/>
    <w:rsid w:val="00FD7825"/>
    <w:rsid w:val="00FF1CAC"/>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526FD"/>
  <w15:docId w15:val="{76AF5F53-EA22-4E5F-B28F-89E5D50F0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כותרת המאמר תו"/>
    <w:basedOn w:val="a4"/>
    <w:link w:val="af5"/>
    <w:locked/>
    <w:rsid w:val="00E2756A"/>
    <w:rPr>
      <w:rFonts w:eastAsia="Times New Roman" w:cs="Narkisim"/>
      <w:b/>
      <w:bCs/>
      <w:sz w:val="32"/>
      <w:szCs w:val="32"/>
      <w:lang w:eastAsia="he-IL"/>
    </w:rPr>
  </w:style>
  <w:style w:type="paragraph" w:customStyle="1" w:styleId="af6">
    <w:name w:val="כותרת שם כותב המאמר"/>
    <w:basedOn w:val="a3"/>
    <w:next w:val="af7"/>
    <w:link w:val="af8"/>
    <w:qFormat/>
    <w:rsid w:val="00E2756A"/>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5">
    <w:name w:val="כותרת המאמר"/>
    <w:basedOn w:val="a3"/>
    <w:next w:val="af6"/>
    <w:link w:val="af4"/>
    <w:rsid w:val="00E2756A"/>
    <w:pPr>
      <w:keepNext/>
      <w:spacing w:before="840" w:after="120" w:line="276" w:lineRule="auto"/>
      <w:jc w:val="center"/>
      <w:outlineLvl w:val="2"/>
    </w:pPr>
    <w:rPr>
      <w:rFonts w:eastAsia="Times New Roman" w:cs="Narkisim"/>
      <w:b/>
      <w:bCs/>
      <w:sz w:val="32"/>
      <w:szCs w:val="32"/>
      <w:lang w:eastAsia="he-IL"/>
    </w:rPr>
  </w:style>
  <w:style w:type="character" w:customStyle="1" w:styleId="af8">
    <w:name w:val="כותרת שם כותב המאמר תו"/>
    <w:basedOn w:val="a4"/>
    <w:link w:val="af6"/>
    <w:locked/>
    <w:rsid w:val="00E2756A"/>
    <w:rPr>
      <w:rFonts w:eastAsia="Times New Roman" w:cs="Narkisim"/>
      <w:b/>
      <w:bCs/>
      <w:sz w:val="24"/>
      <w:szCs w:val="28"/>
      <w:lang w:eastAsia="he-IL"/>
    </w:rPr>
  </w:style>
  <w:style w:type="paragraph" w:customStyle="1" w:styleId="af7">
    <w:name w:val="כותרת תפקיד כותב המאמר"/>
    <w:basedOn w:val="af6"/>
    <w:next w:val="ae"/>
    <w:link w:val="af9"/>
    <w:qFormat/>
    <w:rsid w:val="00E2756A"/>
    <w:pPr>
      <w:tabs>
        <w:tab w:val="clear" w:pos="284"/>
        <w:tab w:val="clear" w:pos="567"/>
      </w:tabs>
      <w:spacing w:before="240" w:after="600" w:line="276" w:lineRule="auto"/>
      <w:outlineLvl w:val="5"/>
    </w:pPr>
    <w:rPr>
      <w:sz w:val="26"/>
      <w:szCs w:val="26"/>
    </w:rPr>
  </w:style>
  <w:style w:type="character" w:customStyle="1" w:styleId="af9">
    <w:name w:val="כותרת תפקיד כותב המאמר תו"/>
    <w:basedOn w:val="af8"/>
    <w:link w:val="af7"/>
    <w:locked/>
    <w:rsid w:val="00E2756A"/>
    <w:rPr>
      <w:rFonts w:eastAsia="Times New Roman" w:cs="Narkisim"/>
      <w:b/>
      <w:bCs/>
      <w:sz w:val="26"/>
      <w:szCs w:val="26"/>
      <w:lang w:eastAsia="he-IL"/>
    </w:rPr>
  </w:style>
  <w:style w:type="character" w:customStyle="1" w:styleId="afa">
    <w:name w:val="פסק דין תו"/>
    <w:basedOn w:val="a4"/>
    <w:link w:val="afb"/>
    <w:locked/>
    <w:rsid w:val="003D0A52"/>
    <w:rPr>
      <w:rFonts w:ascii="Arial" w:eastAsia="Calibri" w:hAnsi="Arial" w:cs="FrankRuehl"/>
      <w:bCs/>
      <w:spacing w:val="20"/>
      <w:kern w:val="28"/>
      <w:sz w:val="24"/>
      <w:szCs w:val="32"/>
    </w:rPr>
  </w:style>
  <w:style w:type="paragraph" w:customStyle="1" w:styleId="afb">
    <w:name w:val="פסק דין"/>
    <w:basedOn w:val="a3"/>
    <w:next w:val="ae"/>
    <w:link w:val="afa"/>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2">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2"/>
    <w:qFormat/>
    <w:rsid w:val="005452D2"/>
    <w:pPr>
      <w:numPr>
        <w:numId w:val="1"/>
      </w:numPr>
      <w:spacing w:before="120"/>
    </w:pPr>
    <w:rPr>
      <w:rFonts w:ascii="David" w:hAnsi="David"/>
      <w:sz w:val="36"/>
    </w:rPr>
  </w:style>
  <w:style w:type="paragraph" w:customStyle="1" w:styleId="a0">
    <w:name w:val="כותרת משנה אמצע ממוספרת"/>
    <w:basedOn w:val="a3"/>
    <w:next w:val="ae"/>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c">
    <w:name w:val="כותרת [א.] צד תו"/>
    <w:basedOn w:val="a4"/>
    <w:link w:val="afd"/>
    <w:locked/>
    <w:rsid w:val="008A683B"/>
    <w:rPr>
      <w:rFonts w:ascii="Arial" w:eastAsia="Times New Roman" w:hAnsi="Arial" w:cs="Narkisim"/>
      <w:b/>
      <w:bCs/>
      <w:sz w:val="24"/>
      <w:szCs w:val="24"/>
    </w:rPr>
  </w:style>
  <w:style w:type="paragraph" w:customStyle="1" w:styleId="afd">
    <w:name w:val="כותרת [א.] צד"/>
    <w:basedOn w:val="a1"/>
    <w:next w:val="ae"/>
    <w:link w:val="afc"/>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3">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3"/>
    <w:qFormat/>
    <w:rsid w:val="008A683B"/>
    <w:pPr>
      <w:numPr>
        <w:ilvl w:val="2"/>
      </w:numPr>
      <w:spacing w:before="240"/>
      <w:outlineLvl w:val="4"/>
    </w:pPr>
    <w:rPr>
      <w:sz w:val="22"/>
      <w:szCs w:val="22"/>
    </w:rPr>
  </w:style>
  <w:style w:type="character" w:customStyle="1" w:styleId="afe">
    <w:name w:val="כותרת [(א)] צד תו"/>
    <w:basedOn w:val="13"/>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e"/>
    <w:qFormat/>
    <w:rsid w:val="008A683B"/>
    <w:pPr>
      <w:numPr>
        <w:ilvl w:val="3"/>
        <w:numId w:val="14"/>
      </w:numPr>
      <w:outlineLvl w:val="5"/>
    </w:pPr>
    <w:rPr>
      <w:b w:val="0"/>
      <w:bCs w:val="0"/>
      <w:i/>
      <w:iCs/>
    </w:rPr>
  </w:style>
  <w:style w:type="character" w:styleId="aff">
    <w:name w:val="footnote reference"/>
    <w:aliases w:val="Footnote Reference"/>
    <w:semiHidden/>
    <w:unhideWhenUsed/>
    <w:qFormat/>
    <w:rsid w:val="00E2756A"/>
    <w:rPr>
      <w:rFonts w:ascii="Times New Roman" w:hAnsi="Times New Roman" w:cs="FrankRuehl" w:hint="default"/>
      <w:kern w:val="0"/>
      <w:position w:val="0"/>
      <w:sz w:val="20"/>
      <w:szCs w:val="28"/>
      <w:vertAlign w:val="superscript"/>
    </w:rPr>
  </w:style>
  <w:style w:type="character" w:styleId="aff0">
    <w:name w:val="Book Title"/>
    <w:basedOn w:val="a4"/>
    <w:uiPriority w:val="33"/>
    <w:qFormat/>
    <w:rsid w:val="00E2756A"/>
    <w:rPr>
      <w:b/>
      <w:bCs/>
      <w:smallCaps/>
      <w:spacing w:val="5"/>
    </w:rPr>
  </w:style>
  <w:style w:type="paragraph" w:customStyle="1" w:styleId="aff1">
    <w:name w:val="שמות הדיינים"/>
    <w:basedOn w:val="a3"/>
    <w:next w:val="a3"/>
    <w:link w:val="aff2"/>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f2">
    <w:name w:val="שמות הדיינים תו"/>
    <w:basedOn w:val="a4"/>
    <w:link w:val="aff1"/>
    <w:rsid w:val="00D77F78"/>
    <w:rPr>
      <w:rFonts w:eastAsia="Calibri" w:cs="Narkisim"/>
      <w:b/>
      <w:bCs/>
      <w:kern w:val="28"/>
      <w:sz w:val="23"/>
      <w:szCs w:val="23"/>
    </w:rPr>
  </w:style>
  <w:style w:type="paragraph" w:styleId="aff3">
    <w:name w:val="header"/>
    <w:basedOn w:val="a3"/>
    <w:link w:val="aff4"/>
    <w:uiPriority w:val="99"/>
    <w:unhideWhenUsed/>
    <w:rsid w:val="00FA1DAB"/>
    <w:pPr>
      <w:tabs>
        <w:tab w:val="center" w:pos="4153"/>
        <w:tab w:val="right" w:pos="8306"/>
      </w:tabs>
    </w:pPr>
  </w:style>
  <w:style w:type="character" w:customStyle="1" w:styleId="aff4">
    <w:name w:val="כותרת עליונה תו"/>
    <w:basedOn w:val="a4"/>
    <w:link w:val="aff3"/>
    <w:uiPriority w:val="99"/>
    <w:rsid w:val="00FA1DAB"/>
    <w:rPr>
      <w:rFonts w:cs="FrankRuehl"/>
      <w:sz w:val="22"/>
      <w:szCs w:val="28"/>
    </w:rPr>
  </w:style>
  <w:style w:type="paragraph" w:styleId="aff5">
    <w:name w:val="footer"/>
    <w:basedOn w:val="a3"/>
    <w:link w:val="aff6"/>
    <w:uiPriority w:val="99"/>
    <w:unhideWhenUsed/>
    <w:rsid w:val="00FA1DAB"/>
    <w:pPr>
      <w:tabs>
        <w:tab w:val="center" w:pos="4153"/>
        <w:tab w:val="right" w:pos="8306"/>
      </w:tabs>
    </w:pPr>
  </w:style>
  <w:style w:type="character" w:customStyle="1" w:styleId="aff6">
    <w:name w:val="כותרת תחתונה תו"/>
    <w:basedOn w:val="a4"/>
    <w:link w:val="aff5"/>
    <w:uiPriority w:val="99"/>
    <w:rsid w:val="00FA1DAB"/>
    <w:rPr>
      <w:rFonts w:cs="FrankRuehl"/>
      <w:sz w:val="22"/>
      <w:szCs w:val="28"/>
    </w:rPr>
  </w:style>
  <w:style w:type="paragraph" w:customStyle="1" w:styleId="aff7">
    <w:name w:val="רשימה רגילה"/>
    <w:basedOn w:val="1"/>
    <w:next w:val="af"/>
    <w:link w:val="aff8"/>
    <w:qFormat/>
    <w:rsid w:val="009D23D6"/>
    <w:pPr>
      <w:ind w:left="0" w:firstLine="0"/>
    </w:pPr>
  </w:style>
  <w:style w:type="character" w:customStyle="1" w:styleId="aff8">
    <w:name w:val="רשימה רגילה תו"/>
    <w:basedOn w:val="12"/>
    <w:link w:val="aff7"/>
    <w:rsid w:val="009D23D6"/>
    <w:rPr>
      <w:rFonts w:ascii="David" w:eastAsia="Calibri" w:hAnsi="David" w:cs="FrankRuehl"/>
      <w:kern w:val="28"/>
      <w:sz w:val="36"/>
      <w:szCs w:val="28"/>
    </w:rPr>
  </w:style>
  <w:style w:type="paragraph" w:customStyle="1" w:styleId="a1">
    <w:name w:val="כותרת [א.] צד"/>
    <w:basedOn w:val="a3"/>
    <w:next w:val="ae"/>
    <w:link w:val="14"/>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4">
    <w:name w:val="כותרת [א.] צד תו1"/>
    <w:basedOn w:val="a4"/>
    <w:link w:val="a1"/>
    <w:rsid w:val="008A683B"/>
    <w:rPr>
      <w:rFonts w:ascii="Arial" w:eastAsia="Times New Roman" w:hAnsi="Arial" w:cs="Narkisim"/>
      <w:b/>
      <w:bCs/>
      <w:sz w:val="24"/>
      <w:szCs w:val="24"/>
    </w:rPr>
  </w:style>
  <w:style w:type="paragraph" w:customStyle="1" w:styleId="aff9">
    <w:name w:val="מספר תיק"/>
    <w:basedOn w:val="a3"/>
    <w:link w:val="affa"/>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a">
    <w:name w:val="מספר תיק תו"/>
    <w:basedOn w:val="a4"/>
    <w:link w:val="aff9"/>
    <w:rsid w:val="003D0A52"/>
    <w:rPr>
      <w:rFonts w:eastAsia="Times New Roman" w:cs="FrankRuehl"/>
      <w:sz w:val="24"/>
      <w:szCs w:val="32"/>
      <w:lang w:eastAsia="he-IL"/>
    </w:rPr>
  </w:style>
  <w:style w:type="paragraph" w:customStyle="1" w:styleId="affb">
    <w:name w:val="פלוני"/>
    <w:basedOn w:val="a3"/>
    <w:link w:val="affc"/>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c">
    <w:name w:val="פלוני תו"/>
    <w:basedOn w:val="a4"/>
    <w:link w:val="affb"/>
    <w:rsid w:val="003D0A52"/>
    <w:rPr>
      <w:rFonts w:eastAsia="Times New Roman" w:cs="FrankRuehl"/>
      <w:sz w:val="26"/>
      <w:szCs w:val="32"/>
      <w:lang w:eastAsia="he-IL"/>
    </w:rPr>
  </w:style>
  <w:style w:type="paragraph" w:customStyle="1" w:styleId="affd">
    <w:name w:val="כותרת הנידון ומסקנות"/>
    <w:basedOn w:val="a3"/>
    <w:next w:val="affe"/>
    <w:link w:val="afff"/>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e">
    <w:name w:val="תקציר פתיחה"/>
    <w:basedOn w:val="a3"/>
    <w:next w:val="a3"/>
    <w:link w:val="afff0"/>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f0">
    <w:name w:val="תקציר פתיחה תו"/>
    <w:basedOn w:val="a4"/>
    <w:link w:val="affe"/>
    <w:rsid w:val="0065626D"/>
    <w:rPr>
      <w:rFonts w:eastAsia="Times New Roman" w:cs="FrankRuehl"/>
      <w:szCs w:val="24"/>
      <w:lang w:eastAsia="he-IL"/>
    </w:rPr>
  </w:style>
  <w:style w:type="character" w:customStyle="1" w:styleId="afff">
    <w:name w:val="כותרת הנידון ומסקנות תו"/>
    <w:basedOn w:val="a4"/>
    <w:link w:val="affd"/>
    <w:rsid w:val="003D0A52"/>
    <w:rPr>
      <w:rFonts w:ascii="Cambria" w:eastAsia="Times New Roman" w:hAnsi="Cambria" w:cs="Narkisim"/>
      <w:b/>
      <w:noProof/>
      <w:sz w:val="26"/>
      <w:szCs w:val="26"/>
      <w:lang w:eastAsia="he-IL"/>
    </w:rPr>
  </w:style>
  <w:style w:type="paragraph" w:customStyle="1" w:styleId="afff1">
    <w:name w:val="מסקנות [א.] תוכן"/>
    <w:basedOn w:val="a3"/>
    <w:link w:val="afff2"/>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f2">
    <w:name w:val="מסקנות [א.] תוכן תו"/>
    <w:basedOn w:val="a4"/>
    <w:link w:val="afff1"/>
    <w:rsid w:val="0065626D"/>
    <w:rPr>
      <w:rFonts w:eastAsia="Times New Roman" w:cs="FrankRuehl"/>
      <w:szCs w:val="24"/>
      <w:lang w:eastAsia="he-IL"/>
    </w:rPr>
  </w:style>
  <w:style w:type="paragraph" w:customStyle="1" w:styleId="afff3">
    <w:name w:val="בבית הדין הרבני"/>
    <w:basedOn w:val="a3"/>
    <w:next w:val="afff4"/>
    <w:link w:val="afff5"/>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f4">
    <w:name w:val="לפני כבוד הדיינים"/>
    <w:basedOn w:val="a3"/>
    <w:next w:val="aff1"/>
    <w:link w:val="afff6"/>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6">
    <w:name w:val="לפני כבוד הדיינים תו"/>
    <w:basedOn w:val="a4"/>
    <w:link w:val="afff4"/>
    <w:rsid w:val="0065626D"/>
    <w:rPr>
      <w:rFonts w:eastAsia="Times New Roman" w:cs="FrankRuehl"/>
      <w:sz w:val="22"/>
      <w:szCs w:val="26"/>
      <w:lang w:eastAsia="he-IL"/>
    </w:rPr>
  </w:style>
  <w:style w:type="character" w:customStyle="1" w:styleId="afff5">
    <w:name w:val="בבית הדין הרבני תו"/>
    <w:basedOn w:val="a4"/>
    <w:link w:val="afff3"/>
    <w:rsid w:val="003D0A52"/>
    <w:rPr>
      <w:rFonts w:eastAsia="Times New Roman" w:cs="FrankRuehl"/>
      <w:b/>
      <w:bCs/>
      <w:sz w:val="24"/>
      <w:szCs w:val="28"/>
      <w:lang w:eastAsia="he-IL"/>
    </w:rPr>
  </w:style>
  <w:style w:type="paragraph" w:customStyle="1" w:styleId="15">
    <w:name w:val="מסקנות [א.(1)] תוכן"/>
    <w:basedOn w:val="a3"/>
    <w:link w:val="16"/>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6">
    <w:name w:val="מסקנות [א.(1)] תוכן תו"/>
    <w:basedOn w:val="a4"/>
    <w:link w:val="15"/>
    <w:rsid w:val="0065626D"/>
    <w:rPr>
      <w:rFonts w:eastAsia="Times New Roman" w:cs="FrankRuehl"/>
      <w:sz w:val="24"/>
      <w:szCs w:val="24"/>
      <w:lang w:eastAsia="he-IL"/>
    </w:rPr>
  </w:style>
  <w:style w:type="paragraph" w:customStyle="1" w:styleId="a">
    <w:name w:val="כללי [א.] ממוספר"/>
    <w:basedOn w:val="a3"/>
    <w:qFormat/>
    <w:rsid w:val="0065626D"/>
    <w:pPr>
      <w:numPr>
        <w:numId w:val="17"/>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7">
    <w:name w:val="ראשי פרקים"/>
    <w:basedOn w:val="affe"/>
    <w:link w:val="afff8"/>
    <w:qFormat/>
    <w:rsid w:val="0065626D"/>
    <w:pPr>
      <w:tabs>
        <w:tab w:val="center" w:pos="3289"/>
      </w:tabs>
      <w:spacing w:before="240" w:after="240" w:line="360" w:lineRule="auto"/>
    </w:pPr>
    <w:rPr>
      <w:rFonts w:cs="Narkisim"/>
      <w:szCs w:val="22"/>
    </w:rPr>
  </w:style>
  <w:style w:type="character" w:customStyle="1" w:styleId="afff8">
    <w:name w:val="ראשי פרקים תו"/>
    <w:basedOn w:val="afff0"/>
    <w:link w:val="afff7"/>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9">
    <w:name w:val="Balloon Text"/>
    <w:basedOn w:val="a3"/>
    <w:link w:val="afffa"/>
    <w:uiPriority w:val="99"/>
    <w:semiHidden/>
    <w:unhideWhenUsed/>
    <w:rsid w:val="001F3BB4"/>
    <w:pPr>
      <w:jc w:val="left"/>
    </w:pPr>
    <w:rPr>
      <w:rFonts w:ascii="Tahoma" w:hAnsi="Tahoma" w:cs="Tahoma"/>
      <w:sz w:val="16"/>
      <w:szCs w:val="16"/>
    </w:rPr>
  </w:style>
  <w:style w:type="character" w:customStyle="1" w:styleId="afffa">
    <w:name w:val="טקסט בלונים תו"/>
    <w:basedOn w:val="a4"/>
    <w:link w:val="afff9"/>
    <w:uiPriority w:val="99"/>
    <w:semiHidden/>
    <w:rsid w:val="001F3BB4"/>
    <w:rPr>
      <w:rFonts w:ascii="Tahoma" w:hAnsi="Tahoma" w:cs="Tahoma"/>
      <w:sz w:val="16"/>
      <w:szCs w:val="16"/>
    </w:rPr>
  </w:style>
  <w:style w:type="table" w:styleId="afffb">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c">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paragraph" w:customStyle="1" w:styleId="afffd">
    <w:name w:val="פרדס"/>
    <w:basedOn w:val="a3"/>
    <w:link w:val="afffe"/>
    <w:qFormat/>
    <w:rsid w:val="001F3BB4"/>
    <w:pPr>
      <w:spacing w:line="360" w:lineRule="auto"/>
    </w:pPr>
    <w:rPr>
      <w:rFonts w:ascii="Calibri" w:eastAsia="Calibri" w:hAnsi="Calibri"/>
      <w:sz w:val="28"/>
    </w:rPr>
  </w:style>
  <w:style w:type="character" w:customStyle="1" w:styleId="afffe">
    <w:name w:val="פרדס תו"/>
    <w:basedOn w:val="a4"/>
    <w:link w:val="afffd"/>
    <w:rsid w:val="001F3BB4"/>
    <w:rPr>
      <w:rFonts w:ascii="Calibri" w:eastAsia="Calibri" w:hAnsi="Calibri" w:cs="FrankRuehl"/>
      <w:sz w:val="28"/>
      <w:szCs w:val="28"/>
    </w:rPr>
  </w:style>
  <w:style w:type="table" w:customStyle="1" w:styleId="TableGrid1">
    <w:name w:val="Table Grid1"/>
    <w:basedOn w:val="a5"/>
    <w:next w:val="afffb"/>
    <w:uiPriority w:val="59"/>
    <w:rsid w:val="004D4898"/>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4"/>
    <w:uiPriority w:val="99"/>
    <w:unhideWhenUsed/>
    <w:rsid w:val="005D5CA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vo.co.il/law/72138/2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vo.co.il/law/72138"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nevo.co.il/case/17912937" TargetMode="External"/><Relationship Id="rId4" Type="http://schemas.openxmlformats.org/officeDocument/2006/relationships/webSettings" Target="webSettings.xml"/><Relationship Id="rId9" Type="http://schemas.openxmlformats.org/officeDocument/2006/relationships/hyperlink" Target="http://www.nevo.co.il/law/72138/5.a.3"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DBA532E59B41DAAFF89D409444EEFE"/>
        <w:category>
          <w:name w:val="כללי"/>
          <w:gallery w:val="placeholder"/>
        </w:category>
        <w:types>
          <w:type w:val="bbPlcHdr"/>
        </w:types>
        <w:behaviors>
          <w:behavior w:val="content"/>
        </w:behaviors>
        <w:guid w:val="{42124CAE-0459-411E-85FE-39EFD81CBB4D}"/>
      </w:docPartPr>
      <w:docPartBody>
        <w:p w:rsidR="006979AC" w:rsidRDefault="00E932F9" w:rsidP="00E932F9">
          <w:pPr>
            <w:pStyle w:val="68DBA532E59B41DAAFF89D409444EEFE"/>
          </w:pPr>
          <w:r w:rsidRPr="00424C58">
            <w:rPr>
              <w:rStyle w:val="a3"/>
            </w:rPr>
            <w:t>Click here to enter text.</w:t>
          </w:r>
        </w:p>
      </w:docPartBody>
    </w:docPart>
    <w:docPart>
      <w:docPartPr>
        <w:name w:val="08F119B4217D4B7C85A22AB9B6CAAD3C"/>
        <w:category>
          <w:name w:val="כללי"/>
          <w:gallery w:val="placeholder"/>
        </w:category>
        <w:types>
          <w:type w:val="bbPlcHdr"/>
        </w:types>
        <w:behaviors>
          <w:behavior w:val="content"/>
        </w:behaviors>
        <w:guid w:val="{9CCA84FD-C553-4579-A2B3-E80970CAB2D6}"/>
      </w:docPartPr>
      <w:docPartBody>
        <w:p w:rsidR="006979AC" w:rsidRDefault="00E932F9" w:rsidP="00E932F9">
          <w:pPr>
            <w:pStyle w:val="08F119B4217D4B7C85A22AB9B6CAAD3C"/>
          </w:pPr>
          <w:r w:rsidRPr="00424C58">
            <w:rPr>
              <w:rStyle w:val="a3"/>
            </w:rPr>
            <w:t>Click here to enter text.</w:t>
          </w:r>
        </w:p>
      </w:docPartBody>
    </w:docPart>
    <w:docPart>
      <w:docPartPr>
        <w:name w:val="308424A61D614DF4A7CD5B7E27CAF887"/>
        <w:category>
          <w:name w:val="כללי"/>
          <w:gallery w:val="placeholder"/>
        </w:category>
        <w:types>
          <w:type w:val="bbPlcHdr"/>
        </w:types>
        <w:behaviors>
          <w:behavior w:val="content"/>
        </w:behaviors>
        <w:guid w:val="{BF5AA8ED-FFDC-4A4D-9633-F94DF70B4D7B}"/>
      </w:docPartPr>
      <w:docPartBody>
        <w:p w:rsidR="006979AC" w:rsidRDefault="00E932F9" w:rsidP="00E932F9">
          <w:pPr>
            <w:pStyle w:val="308424A61D614DF4A7CD5B7E27CAF887"/>
          </w:pPr>
          <w:r w:rsidRPr="00424C58">
            <w:rPr>
              <w:rStyle w:val="a3"/>
            </w:rPr>
            <w:t>Click here to enter text.</w:t>
          </w:r>
        </w:p>
      </w:docPartBody>
    </w:docPart>
    <w:docPart>
      <w:docPartPr>
        <w:name w:val="5B2581D756EA40C5BA353EA7EA258BA2"/>
        <w:category>
          <w:name w:val="כללי"/>
          <w:gallery w:val="placeholder"/>
        </w:category>
        <w:types>
          <w:type w:val="bbPlcHdr"/>
        </w:types>
        <w:behaviors>
          <w:behavior w:val="content"/>
        </w:behaviors>
        <w:guid w:val="{DAE2658E-1D11-4032-85DF-3859AABA45F0}"/>
      </w:docPartPr>
      <w:docPartBody>
        <w:p w:rsidR="006979AC" w:rsidRDefault="00E932F9" w:rsidP="00E932F9">
          <w:pPr>
            <w:pStyle w:val="5B2581D756EA40C5BA353EA7EA258BA2"/>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Ruehl">
    <w:altName w:val="Times New Roman"/>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2F9"/>
    <w:rsid w:val="00143189"/>
    <w:rsid w:val="00143328"/>
    <w:rsid w:val="001E62D6"/>
    <w:rsid w:val="00473F83"/>
    <w:rsid w:val="004F2AAB"/>
    <w:rsid w:val="00633F45"/>
    <w:rsid w:val="00656630"/>
    <w:rsid w:val="006979AC"/>
    <w:rsid w:val="00723950"/>
    <w:rsid w:val="007C14A1"/>
    <w:rsid w:val="00A15F7E"/>
    <w:rsid w:val="00A23D63"/>
    <w:rsid w:val="00A34B41"/>
    <w:rsid w:val="00BB720B"/>
    <w:rsid w:val="00E932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932F9"/>
    <w:rPr>
      <w:color w:val="808080"/>
    </w:rPr>
  </w:style>
  <w:style w:type="paragraph" w:customStyle="1" w:styleId="68DBA532E59B41DAAFF89D409444EEFE">
    <w:name w:val="68DBA532E59B41DAAFF89D409444EEFE"/>
    <w:rsid w:val="00E932F9"/>
    <w:pPr>
      <w:bidi/>
    </w:pPr>
  </w:style>
  <w:style w:type="paragraph" w:customStyle="1" w:styleId="08F119B4217D4B7C85A22AB9B6CAAD3C">
    <w:name w:val="08F119B4217D4B7C85A22AB9B6CAAD3C"/>
    <w:rsid w:val="00E932F9"/>
    <w:pPr>
      <w:bidi/>
    </w:pPr>
  </w:style>
  <w:style w:type="paragraph" w:customStyle="1" w:styleId="308424A61D614DF4A7CD5B7E27CAF887">
    <w:name w:val="308424A61D614DF4A7CD5B7E27CAF887"/>
    <w:rsid w:val="00E932F9"/>
    <w:pPr>
      <w:bidi/>
    </w:pPr>
  </w:style>
  <w:style w:type="paragraph" w:customStyle="1" w:styleId="5B2581D756EA40C5BA353EA7EA258BA2">
    <w:name w:val="5B2581D756EA40C5BA353EA7EA258BA2"/>
    <w:rsid w:val="00E932F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3419</Words>
  <Characters>17095</Characters>
  <Application>Microsoft Office Word</Application>
  <DocSecurity>0</DocSecurity>
  <Lines>142</Lines>
  <Paragraphs>40</Paragraphs>
  <ScaleCrop>false</ScaleCrop>
  <HeadingPairs>
    <vt:vector size="2" baseType="variant">
      <vt:variant>
        <vt:lpstr>שם</vt:lpstr>
      </vt:variant>
      <vt:variant>
        <vt:i4>1</vt:i4>
      </vt:variant>
    </vt:vector>
  </HeadingPairs>
  <TitlesOfParts>
    <vt:vector size="1" baseType="lpstr">
      <vt:lpstr>חלוקת רכוש</vt:lpstr>
    </vt:vector>
  </TitlesOfParts>
  <Company>HP</Company>
  <LinksUpToDate>false</LinksUpToDate>
  <CharactersWithSpaces>20474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חלוקת רכוש</dc:title>
  <dc:creator>הרב צבי בן יעקב, הרב דוד בירדוגו, הרב משה אמסלם</dc:creator>
  <cp:keywords>הסכם ממון על נכס מסוים שלא אושר בערכאה שיפוטית, הסכם מאוחר, אישור הסכם ממון</cp:keywords>
  <cp:lastModifiedBy>יהודה שקדי</cp:lastModifiedBy>
  <cp:revision>2</cp:revision>
  <dcterms:created xsi:type="dcterms:W3CDTF">2026-07-29T14:49:00Z</dcterms:created>
  <dcterms:modified xsi:type="dcterms:W3CDTF">2026-07-29T14:49:00Z</dcterms:modified>
</cp:coreProperties>
</file>