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23468" w14:textId="77777777" w:rsidR="00BA19D6" w:rsidRDefault="00BA19D6" w:rsidP="00BA19D6">
      <w:pPr>
        <w:pStyle w:val="affd"/>
        <w:rPr>
          <w:rFonts w:ascii="Times New Roman" w:hAnsi="Times New Roman" w:cs="FrankRuehl"/>
          <w:b w:val="0"/>
          <w:noProof w:val="0"/>
          <w:sz w:val="24"/>
          <w:szCs w:val="24"/>
          <w:rtl/>
        </w:rPr>
      </w:pPr>
      <w:bookmarkStart w:id="0" w:name="_Hlk230694455"/>
    </w:p>
    <w:p w14:paraId="72B15019" w14:textId="77777777" w:rsidR="00BA19D6" w:rsidRPr="002E422E" w:rsidRDefault="00BA19D6" w:rsidP="00BA19D6">
      <w:pPr>
        <w:pStyle w:val="ae"/>
      </w:pPr>
      <w:r w:rsidRPr="002E422E">
        <w:rPr>
          <w:rtl/>
        </w:rPr>
        <w:t>ב"ה</w:t>
      </w:r>
    </w:p>
    <w:p w14:paraId="175AB284" w14:textId="77777777" w:rsidR="00BA19D6" w:rsidRDefault="00BA19D6" w:rsidP="00BA19D6">
      <w:pPr>
        <w:pStyle w:val="aff9"/>
      </w:pPr>
      <w:r>
        <w:rPr>
          <w:rtl/>
        </w:rPr>
        <w:t xml:space="preserve">תיק </w:t>
      </w:r>
      <w:r>
        <w:rPr>
          <w:rFonts w:hint="cs"/>
          <w:rtl/>
        </w:rPr>
        <w:t>304697/9</w:t>
      </w:r>
    </w:p>
    <w:p w14:paraId="0D7F26EE" w14:textId="77777777" w:rsidR="00BA19D6" w:rsidRDefault="00BA19D6" w:rsidP="00BA19D6">
      <w:pPr>
        <w:pStyle w:val="afff3"/>
      </w:pPr>
      <w:r>
        <w:rPr>
          <w:rtl/>
        </w:rPr>
        <w:t>בבית הדין הרבני ה</w:t>
      </w:r>
      <w:r>
        <w:rPr>
          <w:rFonts w:hint="cs"/>
          <w:rtl/>
        </w:rPr>
        <w:t>אזורי תל אביב יפו</w:t>
      </w:r>
    </w:p>
    <w:p w14:paraId="62053C0B" w14:textId="77777777" w:rsidR="00BA19D6" w:rsidRDefault="00BA19D6" w:rsidP="00BA19D6">
      <w:pPr>
        <w:pStyle w:val="afff4"/>
      </w:pPr>
      <w:r>
        <w:rPr>
          <w:rtl/>
        </w:rPr>
        <w:t>לפני כבוד הדיינים:</w:t>
      </w:r>
    </w:p>
    <w:p w14:paraId="7DDD6C0D" w14:textId="77777777" w:rsidR="00BA19D6" w:rsidRDefault="00000000" w:rsidP="00BA19D6">
      <w:pPr>
        <w:pStyle w:val="aff1"/>
      </w:pPr>
      <w:sdt>
        <w:sdtPr>
          <w:rPr>
            <w:rFonts w:hint="cs"/>
            <w:b w:val="0"/>
            <w:bCs w:val="0"/>
            <w:sz w:val="28"/>
            <w:rtl/>
          </w:rPr>
          <w:alias w:val="Judges"/>
          <w:tag w:val="Judges"/>
          <w:id w:val="1275365957"/>
          <w:placeholder>
            <w:docPart w:val="8890173BB91A42A48C30708E089D582B"/>
          </w:placeholder>
          <w:temporary/>
        </w:sdtPr>
        <w:sdtContent>
          <w:r w:rsidR="00BA19D6" w:rsidRPr="00BE2E0A">
            <w:rPr>
              <w:rFonts w:hint="cs"/>
              <w:sz w:val="28"/>
              <w:rtl/>
            </w:rPr>
            <w:t xml:space="preserve">הרב צבי בירנבאום – אב"ד, הרב אריה אוריאל, הרב נפתלי </w:t>
          </w:r>
          <w:proofErr w:type="spellStart"/>
          <w:r w:rsidR="00BA19D6" w:rsidRPr="00BE2E0A">
            <w:rPr>
              <w:rFonts w:hint="cs"/>
              <w:sz w:val="28"/>
              <w:rtl/>
            </w:rPr>
            <w:t>הייזלר</w:t>
          </w:r>
          <w:proofErr w:type="spellEnd"/>
        </w:sdtContent>
      </w:sdt>
    </w:p>
    <w:p w14:paraId="32872ACE" w14:textId="77777777" w:rsidR="00BA19D6" w:rsidRDefault="00BA19D6" w:rsidP="00BA19D6">
      <w:pPr>
        <w:pStyle w:val="affb"/>
        <w:rPr>
          <w:sz w:val="28"/>
        </w:rPr>
      </w:pPr>
      <w:r>
        <w:rPr>
          <w:rFonts w:hint="cs"/>
          <w:rtl/>
        </w:rPr>
        <w:t>המבקש</w:t>
      </w:r>
      <w:r>
        <w:rPr>
          <w:rtl/>
        </w:rPr>
        <w:t>:</w:t>
      </w:r>
      <w:r>
        <w:rPr>
          <w:rtl/>
        </w:rPr>
        <w:tab/>
        <w:t>פלוני</w:t>
      </w:r>
      <w:r>
        <w:rPr>
          <w:rtl/>
        </w:rPr>
        <w:tab/>
      </w:r>
      <w:r w:rsidRPr="00BA19D6">
        <w:rPr>
          <w:sz w:val="28"/>
          <w:szCs w:val="24"/>
          <w:rtl/>
        </w:rPr>
        <w:t>(</w:t>
      </w:r>
      <w:r w:rsidRPr="00BA19D6">
        <w:rPr>
          <w:rFonts w:asciiTheme="minorHAnsi" w:hAnsiTheme="minorHAnsi"/>
          <w:sz w:val="24"/>
          <w:szCs w:val="24"/>
          <w:rtl/>
        </w:rPr>
        <w:t xml:space="preserve">ע"י ב"כ עו"ד </w:t>
      </w:r>
      <w:r w:rsidRPr="00BA19D6">
        <w:rPr>
          <w:rFonts w:asciiTheme="minorHAnsi" w:hAnsiTheme="minorHAnsi" w:hint="cs"/>
          <w:sz w:val="24"/>
          <w:szCs w:val="24"/>
          <w:rtl/>
        </w:rPr>
        <w:t>גבריאל ישראלי</w:t>
      </w:r>
      <w:r w:rsidRPr="00BA19D6">
        <w:rPr>
          <w:sz w:val="28"/>
          <w:szCs w:val="24"/>
          <w:rtl/>
        </w:rPr>
        <w:t>)</w:t>
      </w:r>
      <w:r>
        <w:rPr>
          <w:rtl/>
        </w:rPr>
        <w:t xml:space="preserve"> </w:t>
      </w:r>
    </w:p>
    <w:p w14:paraId="0681F2E3" w14:textId="77777777" w:rsidR="00BA19D6" w:rsidRDefault="00BA19D6" w:rsidP="00BA19D6">
      <w:pPr>
        <w:pStyle w:val="affb"/>
        <w:rPr>
          <w:rtl/>
        </w:rPr>
      </w:pPr>
      <w:r>
        <w:rPr>
          <w:rtl/>
        </w:rPr>
        <w:t>נגד</w:t>
      </w:r>
    </w:p>
    <w:p w14:paraId="424F9DF8" w14:textId="77777777" w:rsidR="00BA19D6" w:rsidRDefault="00BA19D6" w:rsidP="00BA19D6">
      <w:pPr>
        <w:pStyle w:val="affb"/>
        <w:rPr>
          <w:spacing w:val="-2"/>
          <w:rtl/>
        </w:rPr>
      </w:pPr>
      <w:r>
        <w:rPr>
          <w:rtl/>
        </w:rPr>
        <w:t>המשיבה:</w:t>
      </w:r>
      <w:r>
        <w:rPr>
          <w:rtl/>
        </w:rPr>
        <w:tab/>
        <w:t>פלונית</w:t>
      </w:r>
      <w:r>
        <w:rPr>
          <w:rtl/>
        </w:rPr>
        <w:tab/>
      </w:r>
    </w:p>
    <w:p w14:paraId="036C1315" w14:textId="4F466939" w:rsidR="00BA19D6" w:rsidRDefault="00BA19D6" w:rsidP="00BA19D6">
      <w:pPr>
        <w:pStyle w:val="affd"/>
        <w:rPr>
          <w:rtl/>
        </w:rPr>
      </w:pPr>
      <w:r>
        <w:rPr>
          <w:rtl/>
        </w:rPr>
        <w:t xml:space="preserve">הנדון: </w:t>
      </w:r>
      <w:r>
        <w:rPr>
          <w:rFonts w:hint="cs"/>
          <w:rtl/>
        </w:rPr>
        <w:t>בקשה לביטול הסכם גירושין כשהאשה נפטרה קודם הגירושין</w:t>
      </w:r>
    </w:p>
    <w:p w14:paraId="6424B3E4" w14:textId="77777777" w:rsidR="00BA19D6" w:rsidRDefault="00BA19D6" w:rsidP="00BA19D6">
      <w:pPr>
        <w:pStyle w:val="afb"/>
        <w:rPr>
          <w:rtl/>
          <w:lang w:eastAsia="he-IL"/>
        </w:rPr>
      </w:pPr>
      <w:r>
        <w:rPr>
          <w:rFonts w:hint="cs"/>
          <w:rtl/>
        </w:rPr>
        <w:t>פסק דין</w:t>
      </w:r>
    </w:p>
    <w:p w14:paraId="6F16128F" w14:textId="77777777" w:rsidR="00BA19D6" w:rsidRDefault="00BA19D6" w:rsidP="00BA19D6">
      <w:pPr>
        <w:pStyle w:val="ae"/>
        <w:rPr>
          <w:rtl/>
        </w:rPr>
      </w:pPr>
      <w:r>
        <w:rPr>
          <w:rFonts w:hint="cs"/>
          <w:rtl/>
        </w:rPr>
        <w:t>לפני ביה"ד מונחת תביעת הבעל לשעבר לביטול הסכם הגירושין.</w:t>
      </w:r>
    </w:p>
    <w:p w14:paraId="3CD2E4E5" w14:textId="77777777" w:rsidR="00BA19D6" w:rsidRPr="00C21A6A" w:rsidRDefault="00BA19D6" w:rsidP="00BA19D6">
      <w:pPr>
        <w:snapToGrid w:val="0"/>
        <w:spacing w:after="120" w:line="276" w:lineRule="auto"/>
        <w:ind w:firstLine="397"/>
        <w:rPr>
          <w:rFonts w:eastAsia="Calibri"/>
          <w:kern w:val="28"/>
          <w:rtl/>
        </w:rPr>
      </w:pPr>
      <w:r w:rsidRPr="00C21A6A">
        <w:rPr>
          <w:rFonts w:eastAsia="Calibri" w:hint="cs"/>
          <w:kern w:val="28"/>
          <w:rtl/>
        </w:rPr>
        <w:t>תקציר האירועים מתבקש</w:t>
      </w:r>
      <w:r>
        <w:rPr>
          <w:rFonts w:eastAsia="Calibri" w:hint="cs"/>
          <w:kern w:val="28"/>
          <w:rtl/>
        </w:rPr>
        <w:t>:</w:t>
      </w:r>
    </w:p>
    <w:p w14:paraId="01A4033B" w14:textId="77777777" w:rsidR="00BA19D6" w:rsidRPr="00C21A6A" w:rsidRDefault="00BA19D6" w:rsidP="00BA19D6">
      <w:pPr>
        <w:snapToGrid w:val="0"/>
        <w:spacing w:after="120" w:line="276" w:lineRule="auto"/>
        <w:ind w:firstLine="397"/>
        <w:rPr>
          <w:rFonts w:eastAsia="Calibri"/>
          <w:kern w:val="28"/>
          <w:rtl/>
        </w:rPr>
      </w:pPr>
      <w:r w:rsidRPr="00C21A6A">
        <w:rPr>
          <w:rFonts w:eastAsia="Calibri" w:hint="cs"/>
          <w:kern w:val="28"/>
          <w:rtl/>
        </w:rPr>
        <w:t xml:space="preserve">ביום  15/3/2020 הצדדים פתחו תיק בקשה משותפת לגירושין. </w:t>
      </w:r>
    </w:p>
    <w:p w14:paraId="0C1CA057" w14:textId="77777777" w:rsidR="00BA19D6" w:rsidRPr="00C21A6A" w:rsidRDefault="00BA19D6" w:rsidP="00BA19D6">
      <w:pPr>
        <w:snapToGrid w:val="0"/>
        <w:spacing w:after="120" w:line="276" w:lineRule="auto"/>
        <w:ind w:firstLine="397"/>
        <w:rPr>
          <w:rFonts w:eastAsia="Calibri"/>
          <w:kern w:val="28"/>
          <w:rtl/>
        </w:rPr>
      </w:pPr>
      <w:r w:rsidRPr="00C21A6A">
        <w:rPr>
          <w:rFonts w:eastAsia="Calibri" w:hint="cs"/>
          <w:kern w:val="28"/>
          <w:rtl/>
        </w:rPr>
        <w:t xml:space="preserve">ביום 31/5/2020 התקיים דיון. להלן ציטוט מהפרוטוקול: </w:t>
      </w:r>
    </w:p>
    <w:p w14:paraId="413FDC09" w14:textId="77777777" w:rsidR="00BA19D6" w:rsidRPr="00D2616E" w:rsidRDefault="00BA19D6" w:rsidP="00BA19D6">
      <w:pPr>
        <w:pStyle w:val="aa"/>
        <w:rPr>
          <w:rtl/>
        </w:rPr>
      </w:pPr>
      <w:r>
        <w:rPr>
          <w:rFonts w:hint="cs"/>
          <w:rtl/>
        </w:rPr>
        <w:t>"</w:t>
      </w:r>
      <w:r w:rsidRPr="00D2616E">
        <w:rPr>
          <w:rFonts w:hint="cs"/>
          <w:rtl/>
        </w:rPr>
        <w:t xml:space="preserve">בית הדין: האם קבלתם ייעוץ משפטי לגבי הסכם הגירושין. האם אתם מבינים את משמעות ההסכם ואת תוצאותיו?  </w:t>
      </w:r>
    </w:p>
    <w:p w14:paraId="49E90D9D" w14:textId="77777777" w:rsidR="00BA19D6" w:rsidRPr="00D2616E" w:rsidRDefault="00BA19D6" w:rsidP="00BA19D6">
      <w:pPr>
        <w:pStyle w:val="aa"/>
        <w:rPr>
          <w:rtl/>
        </w:rPr>
      </w:pPr>
      <w:r w:rsidRPr="00D2616E">
        <w:rPr>
          <w:rFonts w:hint="cs"/>
          <w:rtl/>
        </w:rPr>
        <w:t>בת הצדדים: אני עו"ד.</w:t>
      </w:r>
      <w:r>
        <w:rPr>
          <w:rFonts w:hint="cs"/>
          <w:rtl/>
        </w:rPr>
        <w:t xml:space="preserve"> </w:t>
      </w:r>
      <w:r w:rsidRPr="00D2616E">
        <w:rPr>
          <w:rFonts w:hint="cs"/>
          <w:rtl/>
        </w:rPr>
        <w:t xml:space="preserve">אני לא עוסקת בדיני משפחה. אני ערכתי להם את הסכם הגירושין. </w:t>
      </w:r>
    </w:p>
    <w:p w14:paraId="0CBC1502" w14:textId="77777777" w:rsidR="00BA19D6" w:rsidRPr="00D2616E" w:rsidRDefault="00BA19D6" w:rsidP="00BA19D6">
      <w:pPr>
        <w:pStyle w:val="aa"/>
        <w:rPr>
          <w:rtl/>
        </w:rPr>
      </w:pPr>
      <w:r w:rsidRPr="00D2616E">
        <w:rPr>
          <w:rFonts w:hint="cs"/>
          <w:rtl/>
        </w:rPr>
        <w:t xml:space="preserve">הבעל: נכון. כי אני מוותר על </w:t>
      </w:r>
      <w:proofErr w:type="spellStart"/>
      <w:r w:rsidRPr="00D2616E">
        <w:rPr>
          <w:rFonts w:hint="cs"/>
          <w:rtl/>
        </w:rPr>
        <w:t>הכל</w:t>
      </w:r>
      <w:proofErr w:type="spellEnd"/>
      <w:r w:rsidRPr="00D2616E">
        <w:rPr>
          <w:rFonts w:hint="cs"/>
          <w:rtl/>
        </w:rPr>
        <w:t>. מסכמים שנינו. נתתי חצי דירה בהסכ</w:t>
      </w:r>
      <w:r>
        <w:rPr>
          <w:rFonts w:hint="cs"/>
          <w:rtl/>
        </w:rPr>
        <w:t>מ</w:t>
      </w:r>
      <w:r w:rsidRPr="00D2616E">
        <w:rPr>
          <w:rFonts w:hint="cs"/>
          <w:rtl/>
        </w:rPr>
        <w:t xml:space="preserve">ה מלאה. </w:t>
      </w:r>
    </w:p>
    <w:p w14:paraId="267EA074" w14:textId="77777777" w:rsidR="00BA19D6" w:rsidRPr="00D2616E" w:rsidRDefault="00BA19D6" w:rsidP="00BA19D6">
      <w:pPr>
        <w:pStyle w:val="aa"/>
        <w:rPr>
          <w:rtl/>
        </w:rPr>
      </w:pPr>
      <w:r w:rsidRPr="00D2616E">
        <w:rPr>
          <w:rFonts w:hint="cs"/>
          <w:rtl/>
        </w:rPr>
        <w:t>.....</w:t>
      </w:r>
    </w:p>
    <w:p w14:paraId="62DE5ADB" w14:textId="77777777" w:rsidR="00BA19D6" w:rsidRPr="008542A5" w:rsidRDefault="00BA19D6" w:rsidP="00BA19D6">
      <w:pPr>
        <w:pStyle w:val="aa"/>
        <w:rPr>
          <w:iCs/>
          <w:rtl/>
        </w:rPr>
      </w:pPr>
      <w:r w:rsidRPr="00D2616E">
        <w:rPr>
          <w:rFonts w:hint="cs"/>
          <w:rtl/>
        </w:rPr>
        <w:t>הצדדים</w:t>
      </w:r>
      <w:r w:rsidRPr="00D2616E">
        <w:rPr>
          <w:rtl/>
        </w:rPr>
        <w:t xml:space="preserve"> </w:t>
      </w:r>
      <w:r w:rsidRPr="00D2616E">
        <w:rPr>
          <w:rFonts w:hint="cs"/>
          <w:rtl/>
        </w:rPr>
        <w:t>קבלו</w:t>
      </w:r>
      <w:r w:rsidRPr="00D2616E">
        <w:rPr>
          <w:rtl/>
        </w:rPr>
        <w:t xml:space="preserve"> </w:t>
      </w:r>
      <w:proofErr w:type="spellStart"/>
      <w:r w:rsidRPr="00D2616E">
        <w:rPr>
          <w:rFonts w:hint="cs"/>
          <w:rtl/>
        </w:rPr>
        <w:t>בקאג</w:t>
      </w:r>
      <w:r w:rsidRPr="00D2616E">
        <w:rPr>
          <w:rtl/>
        </w:rPr>
        <w:t>"</w:t>
      </w:r>
      <w:r w:rsidRPr="00D2616E">
        <w:rPr>
          <w:rFonts w:hint="cs"/>
          <w:rtl/>
        </w:rPr>
        <w:t>ס</w:t>
      </w:r>
      <w:proofErr w:type="spellEnd"/>
      <w:r w:rsidRPr="00D2616E">
        <w:rPr>
          <w:rtl/>
        </w:rPr>
        <w:t xml:space="preserve"> </w:t>
      </w:r>
      <w:r w:rsidRPr="00BA19D6">
        <w:rPr>
          <w:szCs w:val="24"/>
          <w:rtl/>
        </w:rPr>
        <w:t>(</w:t>
      </w:r>
      <w:r w:rsidRPr="00BA19D6">
        <w:rPr>
          <w:rFonts w:hint="cs"/>
          <w:szCs w:val="24"/>
          <w:rtl/>
        </w:rPr>
        <w:t>קניין</w:t>
      </w:r>
      <w:r w:rsidRPr="00BA19D6">
        <w:rPr>
          <w:szCs w:val="24"/>
          <w:rtl/>
        </w:rPr>
        <w:t xml:space="preserve"> </w:t>
      </w:r>
      <w:r w:rsidRPr="00BA19D6">
        <w:rPr>
          <w:rFonts w:hint="cs"/>
          <w:szCs w:val="24"/>
          <w:rtl/>
        </w:rPr>
        <w:t>גמור</w:t>
      </w:r>
      <w:r w:rsidRPr="00BA19D6">
        <w:rPr>
          <w:szCs w:val="24"/>
          <w:rtl/>
        </w:rPr>
        <w:t xml:space="preserve"> </w:t>
      </w:r>
      <w:r w:rsidRPr="00BA19D6">
        <w:rPr>
          <w:rFonts w:hint="cs"/>
          <w:szCs w:val="24"/>
          <w:rtl/>
        </w:rPr>
        <w:t>אגב</w:t>
      </w:r>
      <w:r w:rsidRPr="00BA19D6">
        <w:rPr>
          <w:szCs w:val="24"/>
          <w:rtl/>
        </w:rPr>
        <w:t xml:space="preserve"> </w:t>
      </w:r>
      <w:r w:rsidRPr="00BA19D6">
        <w:rPr>
          <w:rFonts w:hint="cs"/>
          <w:szCs w:val="24"/>
          <w:rtl/>
        </w:rPr>
        <w:t>סודר</w:t>
      </w:r>
      <w:r w:rsidRPr="00BA19D6">
        <w:rPr>
          <w:szCs w:val="24"/>
          <w:rtl/>
        </w:rPr>
        <w:t>)</w:t>
      </w:r>
      <w:r w:rsidRPr="00D2616E">
        <w:rPr>
          <w:rtl/>
        </w:rPr>
        <w:t xml:space="preserve"> </w:t>
      </w:r>
      <w:r w:rsidRPr="00D2616E">
        <w:rPr>
          <w:rFonts w:hint="cs"/>
          <w:rtl/>
        </w:rPr>
        <w:t>על</w:t>
      </w:r>
      <w:r w:rsidRPr="00D2616E">
        <w:rPr>
          <w:rtl/>
        </w:rPr>
        <w:t xml:space="preserve"> </w:t>
      </w:r>
      <w:r w:rsidRPr="00D2616E">
        <w:rPr>
          <w:rFonts w:hint="cs"/>
          <w:rtl/>
        </w:rPr>
        <w:t>כל</w:t>
      </w:r>
      <w:r w:rsidRPr="00D2616E">
        <w:rPr>
          <w:rtl/>
        </w:rPr>
        <w:t xml:space="preserve"> </w:t>
      </w:r>
      <w:r w:rsidRPr="00D2616E">
        <w:rPr>
          <w:rFonts w:hint="cs"/>
          <w:rtl/>
        </w:rPr>
        <w:t>ההתחייבויות</w:t>
      </w:r>
      <w:r w:rsidRPr="00D2616E">
        <w:rPr>
          <w:rtl/>
        </w:rPr>
        <w:t xml:space="preserve"> </w:t>
      </w:r>
      <w:r w:rsidRPr="00D2616E">
        <w:rPr>
          <w:rFonts w:hint="cs"/>
          <w:rtl/>
        </w:rPr>
        <w:t>שבהסכם</w:t>
      </w:r>
      <w:r w:rsidRPr="00D2616E">
        <w:rPr>
          <w:rtl/>
        </w:rPr>
        <w:t xml:space="preserve">, </w:t>
      </w:r>
      <w:r w:rsidRPr="00D2616E">
        <w:rPr>
          <w:rFonts w:hint="cs"/>
          <w:rtl/>
        </w:rPr>
        <w:t>וכן</w:t>
      </w:r>
      <w:r w:rsidRPr="00D2616E">
        <w:rPr>
          <w:rtl/>
        </w:rPr>
        <w:t xml:space="preserve"> </w:t>
      </w:r>
      <w:r w:rsidRPr="00D2616E">
        <w:rPr>
          <w:rFonts w:hint="cs"/>
          <w:rtl/>
        </w:rPr>
        <w:t>על</w:t>
      </w:r>
      <w:r w:rsidRPr="00D2616E">
        <w:rPr>
          <w:rtl/>
        </w:rPr>
        <w:t xml:space="preserve"> </w:t>
      </w:r>
      <w:r w:rsidRPr="00D2616E">
        <w:rPr>
          <w:rFonts w:hint="cs"/>
          <w:rtl/>
        </w:rPr>
        <w:t>כל</w:t>
      </w:r>
      <w:r w:rsidRPr="00D2616E">
        <w:rPr>
          <w:rtl/>
        </w:rPr>
        <w:t xml:space="preserve"> </w:t>
      </w:r>
      <w:r w:rsidRPr="00D2616E">
        <w:rPr>
          <w:rFonts w:hint="cs"/>
          <w:rtl/>
        </w:rPr>
        <w:t>האמור</w:t>
      </w:r>
      <w:r w:rsidRPr="00D2616E">
        <w:rPr>
          <w:rtl/>
        </w:rPr>
        <w:t xml:space="preserve"> </w:t>
      </w:r>
      <w:r w:rsidRPr="00D2616E">
        <w:rPr>
          <w:rFonts w:hint="cs"/>
          <w:rtl/>
        </w:rPr>
        <w:t>בהסכם</w:t>
      </w:r>
      <w:r w:rsidRPr="00D2616E">
        <w:rPr>
          <w:rtl/>
        </w:rPr>
        <w:t>.</w:t>
      </w:r>
      <w:r>
        <w:rPr>
          <w:rFonts w:hint="cs"/>
          <w:rtl/>
        </w:rPr>
        <w:t>"</w:t>
      </w:r>
    </w:p>
    <w:p w14:paraId="07505FCD" w14:textId="77777777" w:rsidR="00BA19D6" w:rsidRDefault="00BA19D6" w:rsidP="00BA19D6">
      <w:pPr>
        <w:snapToGrid w:val="0"/>
        <w:spacing w:after="120" w:line="276" w:lineRule="auto"/>
        <w:ind w:firstLine="397"/>
        <w:rPr>
          <w:rtl/>
        </w:rPr>
      </w:pPr>
      <w:r>
        <w:rPr>
          <w:rFonts w:hint="cs"/>
          <w:rtl/>
        </w:rPr>
        <w:t>לאחר הדיון ניתנה החלטה :</w:t>
      </w:r>
    </w:p>
    <w:p w14:paraId="3177DF97" w14:textId="77777777" w:rsidR="00BA19D6" w:rsidRPr="00D2616E" w:rsidRDefault="00BA19D6" w:rsidP="00BA19D6">
      <w:pPr>
        <w:pStyle w:val="aa"/>
        <w:rPr>
          <w:rtl/>
        </w:rPr>
      </w:pPr>
      <w:r>
        <w:rPr>
          <w:rFonts w:hint="cs"/>
          <w:rtl/>
        </w:rPr>
        <w:t>"</w:t>
      </w:r>
      <w:r w:rsidRPr="00D2616E">
        <w:rPr>
          <w:rtl/>
        </w:rPr>
        <w:t>בית הדין נוכח שהצדדים עשו את ההסכם בהסכמה חופשית והבינו את משמעותו ואת  תוצאותיו. הצדדים קיבלו את ההתחייבויות הממוניות שבהסכם בקנ</w:t>
      </w:r>
      <w:r w:rsidRPr="00D2616E">
        <w:rPr>
          <w:rFonts w:hint="cs"/>
          <w:rtl/>
        </w:rPr>
        <w:t>י</w:t>
      </w:r>
      <w:r w:rsidRPr="00D2616E">
        <w:rPr>
          <w:rtl/>
        </w:rPr>
        <w:t xml:space="preserve">ין. </w:t>
      </w:r>
      <w:r w:rsidRPr="00D2616E">
        <w:rPr>
          <w:rFonts w:hint="cs"/>
          <w:rtl/>
        </w:rPr>
        <w:t xml:space="preserve">האישה מוחלת על כתובתה ותוספת כתובתה בכפוף לסידור הגט . </w:t>
      </w:r>
      <w:r w:rsidRPr="00D2616E">
        <w:rPr>
          <w:rtl/>
        </w:rPr>
        <w:t xml:space="preserve"> </w:t>
      </w:r>
    </w:p>
    <w:p w14:paraId="5EC96C76" w14:textId="77777777" w:rsidR="00BA19D6" w:rsidRPr="00D2616E" w:rsidRDefault="00BA19D6" w:rsidP="00BA19D6">
      <w:pPr>
        <w:pStyle w:val="aa"/>
        <w:rPr>
          <w:rtl/>
        </w:rPr>
      </w:pPr>
      <w:r w:rsidRPr="00D2616E">
        <w:rPr>
          <w:rtl/>
        </w:rPr>
        <w:t>לאור האמור בית הדין פוסק כדלהלן:</w:t>
      </w:r>
    </w:p>
    <w:p w14:paraId="7052C514" w14:textId="77777777" w:rsidR="00BA19D6" w:rsidRPr="00D2616E" w:rsidRDefault="00BA19D6" w:rsidP="00BA19D6">
      <w:pPr>
        <w:pStyle w:val="aa"/>
        <w:rPr>
          <w:rtl/>
        </w:rPr>
      </w:pPr>
      <w:r w:rsidRPr="00D2616E">
        <w:rPr>
          <w:rtl/>
        </w:rPr>
        <w:t xml:space="preserve">בית הדין מאשר את הסכמת הצדדים להתגרש.  </w:t>
      </w:r>
    </w:p>
    <w:p w14:paraId="325F84C8" w14:textId="77777777" w:rsidR="00BA19D6" w:rsidRDefault="00BA19D6" w:rsidP="00BA19D6">
      <w:pPr>
        <w:pStyle w:val="aa"/>
        <w:rPr>
          <w:rtl/>
        </w:rPr>
      </w:pPr>
      <w:r w:rsidRPr="00D2616E">
        <w:rPr>
          <w:rtl/>
        </w:rPr>
        <w:lastRenderedPageBreak/>
        <w:t>בית הדין מאשר את הסכם הגירושין מיום </w:t>
      </w:r>
      <w:r w:rsidRPr="00D2616E">
        <w:rPr>
          <w:rFonts w:hint="cs"/>
          <w:rtl/>
        </w:rPr>
        <w:t xml:space="preserve">ח' בסיון תש"פ </w:t>
      </w:r>
      <w:r w:rsidRPr="00BA19D6">
        <w:rPr>
          <w:rFonts w:hint="cs"/>
          <w:szCs w:val="24"/>
          <w:rtl/>
        </w:rPr>
        <w:t>(31.5.2020)</w:t>
      </w:r>
      <w:r w:rsidRPr="00D2616E">
        <w:rPr>
          <w:rFonts w:hint="cs"/>
          <w:rtl/>
        </w:rPr>
        <w:t xml:space="preserve"> המכיל 2 עמודים ו-12 סעיפים</w:t>
      </w:r>
      <w:r w:rsidRPr="00D2616E">
        <w:rPr>
          <w:rtl/>
        </w:rPr>
        <w:t xml:space="preserve"> ונותן לו תוקף של פס</w:t>
      </w:r>
      <w:r w:rsidRPr="00D2616E">
        <w:rPr>
          <w:rFonts w:hint="cs"/>
          <w:rtl/>
        </w:rPr>
        <w:t>ק דין .</w:t>
      </w:r>
      <w:r>
        <w:rPr>
          <w:rFonts w:hint="cs"/>
          <w:rtl/>
        </w:rPr>
        <w:t>"</w:t>
      </w:r>
    </w:p>
    <w:p w14:paraId="1575B185" w14:textId="77777777" w:rsidR="00BA19D6" w:rsidRDefault="00BA19D6" w:rsidP="00BA19D6">
      <w:pPr>
        <w:snapToGrid w:val="0"/>
        <w:spacing w:after="120" w:line="276" w:lineRule="auto"/>
        <w:ind w:firstLine="397"/>
        <w:rPr>
          <w:rtl/>
        </w:rPr>
      </w:pPr>
      <w:r>
        <w:rPr>
          <w:rFonts w:hint="cs"/>
          <w:rtl/>
        </w:rPr>
        <w:t>נקבע מועד לסידור גט ליום 10/6/2020. ביום זה הגיע הבעל. האישה לא הופיעה.</w:t>
      </w:r>
    </w:p>
    <w:p w14:paraId="5F27EC05" w14:textId="77777777" w:rsidR="00BA19D6" w:rsidRDefault="00BA19D6" w:rsidP="00BA19D6">
      <w:pPr>
        <w:snapToGrid w:val="0"/>
        <w:spacing w:after="120" w:line="276" w:lineRule="auto"/>
        <w:ind w:firstLine="397"/>
        <w:rPr>
          <w:rtl/>
        </w:rPr>
      </w:pPr>
      <w:r>
        <w:rPr>
          <w:rFonts w:hint="cs"/>
          <w:rtl/>
        </w:rPr>
        <w:t>ביום 22/7/2020 הגישה האישה בקשה לקביעת מועד לסידור גט. ביום 1/9/2020 הגישו הצדדים בקשה משותפת לסידור גט.  נקבע מועד ליום 12/10/2020. לדיון זה הגיעו האישה והבת [ר</w:t>
      </w:r>
      <w:r>
        <w:rPr>
          <w:rtl/>
        </w:rPr>
        <w:t>'</w:t>
      </w:r>
      <w:r>
        <w:rPr>
          <w:rFonts w:hint="cs"/>
          <w:rtl/>
        </w:rPr>
        <w:t>]. הבעל לא הגיע. נקבע מועד חדש ליום 28/10/2020. ביום 15/10/2020 הגיש הבעל בקשה לביטול ההסכם. הדיון ב-28/10/2020 בוטל בעקבות בקשת הבעל לביטול ההסכם:</w:t>
      </w:r>
    </w:p>
    <w:p w14:paraId="19965835" w14:textId="77777777" w:rsidR="00BA19D6" w:rsidRDefault="00BA19D6" w:rsidP="00BA19D6">
      <w:pPr>
        <w:pStyle w:val="aa"/>
        <w:rPr>
          <w:rtl/>
        </w:rPr>
      </w:pPr>
      <w:r>
        <w:rPr>
          <w:rFonts w:hint="cs"/>
          <w:rtl/>
        </w:rPr>
        <w:t>"לאחר העיון בבקשה מוחלט כדלהלן:</w:t>
      </w:r>
    </w:p>
    <w:p w14:paraId="37C29B4F" w14:textId="77777777" w:rsidR="00BA19D6" w:rsidRDefault="00BA19D6" w:rsidP="00BA19D6">
      <w:pPr>
        <w:pStyle w:val="aa"/>
        <w:rPr>
          <w:rtl/>
        </w:rPr>
      </w:pPr>
      <w:r>
        <w:rPr>
          <w:rFonts w:hint="cs"/>
          <w:rtl/>
        </w:rPr>
        <w:t xml:space="preserve">לאור התנגדות הבעל לנתינת הגט מכל סיבה שהיא, הדיון העתיד להתקיים בתאריך י' חשון תשפ"א </w:t>
      </w:r>
      <w:r w:rsidRPr="00BA19D6">
        <w:rPr>
          <w:rFonts w:hint="cs"/>
          <w:szCs w:val="24"/>
          <w:rtl/>
        </w:rPr>
        <w:t>(28.10.2020)</w:t>
      </w:r>
      <w:r>
        <w:rPr>
          <w:rFonts w:hint="cs"/>
          <w:rtl/>
        </w:rPr>
        <w:t xml:space="preserve"> מתבטל.</w:t>
      </w:r>
    </w:p>
    <w:p w14:paraId="3FCCE610" w14:textId="77777777" w:rsidR="00BA19D6" w:rsidRPr="00796461" w:rsidRDefault="00BA19D6" w:rsidP="00BA19D6">
      <w:pPr>
        <w:pStyle w:val="aa"/>
        <w:rPr>
          <w:rtl/>
        </w:rPr>
      </w:pPr>
      <w:r>
        <w:rPr>
          <w:rFonts w:hint="cs"/>
          <w:rtl/>
        </w:rPr>
        <w:t>על הצדדים להודיע לביה"ד על המשך דרכם בתיק."</w:t>
      </w:r>
    </w:p>
    <w:p w14:paraId="32A2CEC7" w14:textId="357CB419" w:rsidR="00BA19D6" w:rsidRDefault="00BA19D6" w:rsidP="00BA19D6">
      <w:pPr>
        <w:snapToGrid w:val="0"/>
        <w:spacing w:after="120" w:line="276" w:lineRule="auto"/>
        <w:ind w:firstLine="397"/>
        <w:rPr>
          <w:rtl/>
        </w:rPr>
      </w:pPr>
      <w:r>
        <w:rPr>
          <w:rFonts w:hint="cs"/>
          <w:rtl/>
        </w:rPr>
        <w:t xml:space="preserve">לצערנו, ביום 5/5/2021 נפטרה </w:t>
      </w:r>
      <w:proofErr w:type="spellStart"/>
      <w:r>
        <w:rPr>
          <w:rFonts w:hint="cs"/>
          <w:rtl/>
        </w:rPr>
        <w:t>האשה</w:t>
      </w:r>
      <w:proofErr w:type="spellEnd"/>
      <w:r>
        <w:rPr>
          <w:rFonts w:hint="cs"/>
          <w:rtl/>
        </w:rPr>
        <w:t>. הבעל התאלמן ללא גירושין.</w:t>
      </w:r>
    </w:p>
    <w:p w14:paraId="2AE36F67" w14:textId="77777777" w:rsidR="00BA19D6" w:rsidRDefault="00BA19D6" w:rsidP="00BA19D6">
      <w:pPr>
        <w:snapToGrid w:val="0"/>
        <w:spacing w:after="120" w:line="276" w:lineRule="auto"/>
        <w:ind w:firstLine="397"/>
        <w:rPr>
          <w:rtl/>
        </w:rPr>
      </w:pPr>
      <w:r>
        <w:rPr>
          <w:rFonts w:hint="cs"/>
          <w:rtl/>
        </w:rPr>
        <w:t xml:space="preserve">ביום 19/1/2023 ביקש הבעל שנית את ביטול הסכם הגירושין. </w:t>
      </w:r>
    </w:p>
    <w:p w14:paraId="7235845A" w14:textId="0C15EC4A" w:rsidR="00BA19D6" w:rsidRDefault="00BA19D6" w:rsidP="00BA19D6">
      <w:pPr>
        <w:snapToGrid w:val="0"/>
        <w:spacing w:after="120" w:line="276" w:lineRule="auto"/>
        <w:ind w:firstLine="397"/>
        <w:rPr>
          <w:rtl/>
        </w:rPr>
      </w:pPr>
      <w:r>
        <w:rPr>
          <w:rFonts w:hint="cs"/>
          <w:rtl/>
        </w:rPr>
        <w:t xml:space="preserve">בהסכם הגירושין שאושר, מעביר הבעל לאשתו אגב גירושין את חלקו בדירת הצדדים הנמצאת בהליך התחדשות עירונית. לקיום ההסכם או לביטולו יש קשר ישיר לצוואת </w:t>
      </w:r>
      <w:proofErr w:type="spellStart"/>
      <w:r>
        <w:rPr>
          <w:rFonts w:hint="cs"/>
          <w:rtl/>
        </w:rPr>
        <w:t>האשה</w:t>
      </w:r>
      <w:proofErr w:type="spellEnd"/>
      <w:r>
        <w:rPr>
          <w:rFonts w:hint="cs"/>
          <w:rtl/>
        </w:rPr>
        <w:t xml:space="preserve"> הנדונה כרגע בבית משפט לענייני משפחה. </w:t>
      </w:r>
    </w:p>
    <w:p w14:paraId="0A236AE8" w14:textId="3DD68A72" w:rsidR="00BA19D6" w:rsidRDefault="00BA19D6" w:rsidP="00BA19D6">
      <w:pPr>
        <w:snapToGrid w:val="0"/>
        <w:spacing w:after="120" w:line="276" w:lineRule="auto"/>
        <w:ind w:firstLine="397"/>
        <w:rPr>
          <w:rtl/>
        </w:rPr>
      </w:pPr>
      <w:r>
        <w:rPr>
          <w:rFonts w:hint="cs"/>
          <w:rtl/>
        </w:rPr>
        <w:t xml:space="preserve">קודם פטירתה, כתבה האישה צוואה ובה הטבות רבות לבת [ר']. אם יאושר הסכם הגירושין ואם הצוואה תאושר, תירש הבת [ר'] את חלק האיש בדירת הצדדים שהועבר לאשה בהסכם הגירושין. </w:t>
      </w:r>
    </w:p>
    <w:p w14:paraId="0BC903A7" w14:textId="77777777" w:rsidR="00BA19D6" w:rsidRDefault="00BA19D6" w:rsidP="00BA19D6">
      <w:pPr>
        <w:snapToGrid w:val="0"/>
        <w:spacing w:after="120" w:line="276" w:lineRule="auto"/>
        <w:ind w:firstLine="397"/>
        <w:rPr>
          <w:rtl/>
        </w:rPr>
      </w:pPr>
      <w:r>
        <w:rPr>
          <w:rFonts w:hint="cs"/>
          <w:rtl/>
        </w:rPr>
        <w:t xml:space="preserve">התקיימו שלושה דיונים בעניין הבקשה לביטול ההסכם ובסופם הורה ביה"ד על הגשת סיכומים. </w:t>
      </w:r>
    </w:p>
    <w:p w14:paraId="399DC814" w14:textId="77777777" w:rsidR="00BA19D6" w:rsidRPr="00C21A6A" w:rsidRDefault="00BA19D6" w:rsidP="00BA19D6">
      <w:pPr>
        <w:snapToGrid w:val="0"/>
        <w:spacing w:after="120" w:line="276" w:lineRule="auto"/>
        <w:ind w:firstLine="397"/>
        <w:rPr>
          <w:rtl/>
        </w:rPr>
      </w:pPr>
      <w:r>
        <w:rPr>
          <w:rFonts w:hint="cs"/>
          <w:rtl/>
        </w:rPr>
        <w:t>הסיכומים הוגשו. הגיעה העת להכריע.</w:t>
      </w:r>
    </w:p>
    <w:p w14:paraId="751179C2" w14:textId="77777777" w:rsidR="00BA19D6" w:rsidRPr="002422E4" w:rsidRDefault="00BA19D6" w:rsidP="00BA19D6">
      <w:pPr>
        <w:pStyle w:val="-0"/>
        <w:rPr>
          <w:rtl/>
          <w:lang w:eastAsia="he-IL"/>
        </w:rPr>
      </w:pPr>
      <w:r w:rsidRPr="002422E4">
        <w:rPr>
          <w:rFonts w:hint="cs"/>
          <w:rtl/>
          <w:lang w:eastAsia="he-IL"/>
        </w:rPr>
        <w:t>עיקר טענות ה</w:t>
      </w:r>
      <w:r>
        <w:rPr>
          <w:rFonts w:hint="cs"/>
          <w:rtl/>
          <w:lang w:eastAsia="he-IL"/>
        </w:rPr>
        <w:t>מבקש</w:t>
      </w:r>
      <w:r w:rsidRPr="002422E4">
        <w:rPr>
          <w:rFonts w:hint="cs"/>
          <w:rtl/>
          <w:lang w:eastAsia="he-IL"/>
        </w:rPr>
        <w:t xml:space="preserve"> </w:t>
      </w:r>
    </w:p>
    <w:p w14:paraId="3A790728" w14:textId="77777777" w:rsidR="00BA19D6" w:rsidRDefault="00BA19D6" w:rsidP="00BA19D6">
      <w:pPr>
        <w:pStyle w:val="ae"/>
        <w:numPr>
          <w:ilvl w:val="0"/>
          <w:numId w:val="36"/>
        </w:numPr>
      </w:pPr>
      <w:proofErr w:type="spellStart"/>
      <w:r>
        <w:rPr>
          <w:rFonts w:hint="cs"/>
          <w:rtl/>
        </w:rPr>
        <w:t>האשה</w:t>
      </w:r>
      <w:proofErr w:type="spellEnd"/>
      <w:r>
        <w:rPr>
          <w:rFonts w:hint="cs"/>
          <w:rtl/>
        </w:rPr>
        <w:t xml:space="preserve"> כתבה שתי צוואות בהן חלוקה שווה בין ארבעת ילדיה. לדברי האיש, לאחר מכן כתבה האישה ביום 28.04.2021 צוואה נוספת בהתערבות הבת [ר']. בצוואה האחרונה [ר'] היא הזוכה וכל יתר הילדים של המנוחה הודרו. האיש טוען כי את הצוואה הזו "בישלה" [ר</w:t>
      </w:r>
      <w:r>
        <w:rPr>
          <w:rtl/>
        </w:rPr>
        <w:t>'</w:t>
      </w:r>
      <w:r>
        <w:rPr>
          <w:rFonts w:hint="cs"/>
          <w:rtl/>
        </w:rPr>
        <w:t xml:space="preserve">] עצמה. </w:t>
      </w:r>
    </w:p>
    <w:p w14:paraId="501450CA" w14:textId="77777777" w:rsidR="00BA19D6" w:rsidRDefault="00BA19D6" w:rsidP="00BA19D6">
      <w:pPr>
        <w:pStyle w:val="ae"/>
        <w:ind w:left="720"/>
      </w:pPr>
      <w:r>
        <w:rPr>
          <w:rFonts w:hint="cs"/>
          <w:rtl/>
        </w:rPr>
        <w:t>לדבריו, [ר</w:t>
      </w:r>
      <w:r>
        <w:rPr>
          <w:rtl/>
        </w:rPr>
        <w:t>'</w:t>
      </w:r>
      <w:r>
        <w:rPr>
          <w:rFonts w:hint="cs"/>
          <w:rtl/>
        </w:rPr>
        <w:t>] בת הזקונים ורווקה, שלטה באם החולנית והכתיבה את פעולותיה. הבת שלטה נפשית על האם, ואף איימה על האם והרחיקה בפועל את ילדיה ממנה.</w:t>
      </w:r>
    </w:p>
    <w:p w14:paraId="366C2542" w14:textId="77777777" w:rsidR="00BA19D6" w:rsidRDefault="00BA19D6" w:rsidP="00BA19D6">
      <w:pPr>
        <w:pStyle w:val="ae"/>
        <w:numPr>
          <w:ilvl w:val="0"/>
          <w:numId w:val="36"/>
        </w:numPr>
      </w:pPr>
      <w:r>
        <w:rPr>
          <w:rFonts w:hint="cs"/>
          <w:rtl/>
        </w:rPr>
        <w:t>גם את הסכם הגירושין "בישלה" [ר</w:t>
      </w:r>
      <w:r>
        <w:rPr>
          <w:rtl/>
        </w:rPr>
        <w:t>'</w:t>
      </w:r>
      <w:r>
        <w:rPr>
          <w:rFonts w:hint="cs"/>
          <w:rtl/>
        </w:rPr>
        <w:t>]. היא הכינה את ההסכם והחתימה עליו את אביה באקראי בתחנת אוטובוס, ללא הסבר מתאים על מה הוא חותם. בדיונים שהתקיימו בביה"ד, לא הכחישה [ר</w:t>
      </w:r>
      <w:r>
        <w:rPr>
          <w:rtl/>
        </w:rPr>
        <w:t>'</w:t>
      </w:r>
      <w:r>
        <w:rPr>
          <w:rFonts w:hint="cs"/>
          <w:rtl/>
        </w:rPr>
        <w:t>] שכך היה.</w:t>
      </w:r>
    </w:p>
    <w:p w14:paraId="6DDE2094" w14:textId="2D0E761B" w:rsidR="00BA19D6" w:rsidRDefault="00BA19D6" w:rsidP="00BA19D6">
      <w:pPr>
        <w:pStyle w:val="ae"/>
        <w:numPr>
          <w:ilvl w:val="0"/>
          <w:numId w:val="36"/>
        </w:numPr>
      </w:pPr>
      <w:r>
        <w:rPr>
          <w:rFonts w:hint="cs"/>
          <w:rtl/>
        </w:rPr>
        <w:t>[ר</w:t>
      </w:r>
      <w:r>
        <w:rPr>
          <w:rtl/>
        </w:rPr>
        <w:t>'</w:t>
      </w:r>
      <w:r>
        <w:rPr>
          <w:rFonts w:hint="cs"/>
          <w:rtl/>
        </w:rPr>
        <w:t xml:space="preserve">] נמצאת בניגוד אינטרסים מובהק, משום שהיא ניהלה את ענייני האם, הן כבתה הקטנה הן כעורכת דין,  ובמקביל היא זו הזוכה בנכסי האם. </w:t>
      </w:r>
    </w:p>
    <w:p w14:paraId="7D94B22B" w14:textId="77777777" w:rsidR="00BA19D6" w:rsidRDefault="00BA19D6" w:rsidP="00BA19D6">
      <w:pPr>
        <w:pStyle w:val="ae"/>
        <w:numPr>
          <w:ilvl w:val="0"/>
          <w:numId w:val="36"/>
        </w:numPr>
      </w:pPr>
      <w:r>
        <w:rPr>
          <w:rFonts w:hint="cs"/>
          <w:rtl/>
        </w:rPr>
        <w:t xml:space="preserve">האיש מבקש את ביטול ההסכם מכיוון שכל הסכם גירושין הינו הסכם מותנה </w:t>
      </w:r>
      <w:r>
        <w:rPr>
          <w:rtl/>
        </w:rPr>
        <w:t>–</w:t>
      </w:r>
      <w:r>
        <w:rPr>
          <w:rFonts w:hint="cs"/>
          <w:rtl/>
        </w:rPr>
        <w:t xml:space="preserve"> והתנאי הוא הגירושין עצמם, שלא התקיימו מחמת פטירת האישה. לדבריו, לכל הסכם ישנן שתי </w:t>
      </w:r>
      <w:r>
        <w:rPr>
          <w:rFonts w:hint="cs"/>
          <w:rtl/>
        </w:rPr>
        <w:lastRenderedPageBreak/>
        <w:t xml:space="preserve">בחינות </w:t>
      </w:r>
      <w:r>
        <w:rPr>
          <w:rtl/>
        </w:rPr>
        <w:t>–</w:t>
      </w:r>
      <w:r>
        <w:rPr>
          <w:rFonts w:hint="cs"/>
          <w:rtl/>
        </w:rPr>
        <w:t xml:space="preserve"> הפן ההסכמי ומתן תוקף משפטי. ביטול הסכם יבוקש או על הפן המשפטי </w:t>
      </w:r>
      <w:r>
        <w:rPr>
          <w:rtl/>
        </w:rPr>
        <w:t>–</w:t>
      </w:r>
      <w:r>
        <w:rPr>
          <w:rFonts w:hint="cs"/>
          <w:rtl/>
        </w:rPr>
        <w:t xml:space="preserve"> אישורו ומתן תוקף משפטי, ואז ביטולו מצריך הגשת ערעור, או על ידי תביעה חדשה על נסיבות הפן ההסכמי. בתיק זה, הסכמות הצדדים היו מותנות בגירושין. כל ההתחייבויות מותנות בגירושין. גירושין לא היו, לכן ההסכם מבוטל. </w:t>
      </w:r>
    </w:p>
    <w:p w14:paraId="4C8404BF" w14:textId="77777777" w:rsidR="00BA19D6" w:rsidRDefault="00BA19D6" w:rsidP="00BA19D6">
      <w:pPr>
        <w:pStyle w:val="ae"/>
        <w:numPr>
          <w:ilvl w:val="0"/>
          <w:numId w:val="36"/>
        </w:numPr>
      </w:pPr>
      <w:r>
        <w:rPr>
          <w:rFonts w:hint="cs"/>
          <w:rtl/>
        </w:rPr>
        <w:t xml:space="preserve">ב"כ האיש טוען עוד כי הסכם הגירושין היה הסכם למראית עין, שמטרתו הייתה סיוע לשכר דירה.  סעיף 13 לחוק החוזים טוען כי הסכם למראית עין אינו תקף. </w:t>
      </w:r>
    </w:p>
    <w:p w14:paraId="7FB6E73A" w14:textId="77777777" w:rsidR="00BA19D6" w:rsidRDefault="00BA19D6" w:rsidP="00BA19D6">
      <w:pPr>
        <w:pStyle w:val="ae"/>
        <w:numPr>
          <w:ilvl w:val="0"/>
          <w:numId w:val="36"/>
        </w:numPr>
        <w:rPr>
          <w:rtl/>
        </w:rPr>
      </w:pPr>
      <w:r>
        <w:rPr>
          <w:rFonts w:hint="cs"/>
          <w:rtl/>
        </w:rPr>
        <w:t xml:space="preserve">ב"כ האיש טוען כי רצף האירועים מוכיח התנהלות שלא בתום לב: </w:t>
      </w:r>
    </w:p>
    <w:p w14:paraId="26D1A617" w14:textId="77777777" w:rsidR="00BA19D6" w:rsidRDefault="00BA19D6" w:rsidP="00BA19D6">
      <w:pPr>
        <w:pStyle w:val="aa"/>
        <w:ind w:left="1440"/>
        <w:rPr>
          <w:rtl/>
          <w:lang w:eastAsia="he-IL"/>
        </w:rPr>
      </w:pPr>
      <w:r>
        <w:rPr>
          <w:rFonts w:hint="cs"/>
          <w:rtl/>
          <w:lang w:eastAsia="he-IL"/>
        </w:rPr>
        <w:t xml:space="preserve">"קשר סיבתי מובהק לפני התנהלות העניינים, קרי: ניהול מו"מ עם קבלן הפינוי בינוי, שידול ההורים להסכם גירושין מותנה, הגשת ההסכם, דחיית מתן הגט, העברת פס"ד לב"כ הקבלן ומשיכת כספים כנגד, קביעת מועד חתונתה בבהילות מחשש למוות של המצווה, עריכת צוואה יום לפני החתונה והוצאת המנוחה מביה"ח "בסיבה" של "מוזמנת לחתונה", אולם מבצעת צוואה שבה היא </w:t>
      </w:r>
      <w:r w:rsidRPr="00BA19D6">
        <w:rPr>
          <w:rFonts w:hint="cs"/>
          <w:szCs w:val="24"/>
          <w:rtl/>
          <w:lang w:eastAsia="he-IL"/>
        </w:rPr>
        <w:t>(עורכת הדין ר')</w:t>
      </w:r>
      <w:r>
        <w:rPr>
          <w:rFonts w:hint="cs"/>
          <w:rtl/>
          <w:lang w:eastAsia="he-IL"/>
        </w:rPr>
        <w:t xml:space="preserve"> הנהנית העיקרית, מותה של האם לאחר כארבעה ימים. מכאן ניתן להבחין בין התנהגות של עורכת הדין [ר'] כנהנית העיקרית הלוקחת ומתערבת הן בהסכם הגירושין והן בעריכת הצוואה לטובתה בעיקר כדי שרשת סעיף 35 לחוק יתפוס אותה בשרשרת פועלה הבלתי חוקי ומוסרי."</w:t>
      </w:r>
    </w:p>
    <w:p w14:paraId="53DD8A4F" w14:textId="77777777" w:rsidR="00BA19D6" w:rsidRPr="00507389" w:rsidRDefault="00BA19D6" w:rsidP="00BA19D6">
      <w:pPr>
        <w:pStyle w:val="-0"/>
        <w:rPr>
          <w:rtl/>
          <w:lang w:eastAsia="he-IL"/>
        </w:rPr>
      </w:pPr>
      <w:r w:rsidRPr="002422E4">
        <w:rPr>
          <w:rFonts w:hint="cs"/>
          <w:rtl/>
          <w:lang w:eastAsia="he-IL"/>
        </w:rPr>
        <w:t xml:space="preserve">עיקר </w:t>
      </w:r>
      <w:r w:rsidRPr="00507389">
        <w:rPr>
          <w:rFonts w:hint="cs"/>
          <w:rtl/>
          <w:lang w:eastAsia="he-IL"/>
        </w:rPr>
        <w:t>טענות</w:t>
      </w:r>
      <w:r>
        <w:rPr>
          <w:rFonts w:hint="cs"/>
          <w:rtl/>
          <w:lang w:eastAsia="he-IL"/>
        </w:rPr>
        <w:t xml:space="preserve"> </w:t>
      </w:r>
      <w:r w:rsidRPr="002422E4">
        <w:rPr>
          <w:rFonts w:hint="cs"/>
          <w:rtl/>
          <w:lang w:eastAsia="he-IL"/>
        </w:rPr>
        <w:t xml:space="preserve"> המשיבה </w:t>
      </w:r>
    </w:p>
    <w:p w14:paraId="750FDD40" w14:textId="77777777" w:rsidR="00BA19D6" w:rsidRDefault="00BA19D6" w:rsidP="00BA19D6">
      <w:pPr>
        <w:pStyle w:val="ae"/>
        <w:numPr>
          <w:ilvl w:val="0"/>
          <w:numId w:val="37"/>
        </w:numPr>
      </w:pPr>
      <w:r>
        <w:rPr>
          <w:rFonts w:hint="cs"/>
          <w:rtl/>
        </w:rPr>
        <w:t xml:space="preserve">הסכם הגירושין אושר לאחר קבלת קניין מהצדדים. לכל אורך הדרך עמד האיש על רצונו בגירושין, לא דיבר  על שלום בית  ולא הייתה לו  מחשבה נוספת. כלומר אין כאן קניין בטעות. ביום 10.06.2020 הגיע האיש לבדו לסידור הגט, ללא שום לחץ או אמירה כי הוא מאולץ לסדר את הגט. </w:t>
      </w:r>
      <w:proofErr w:type="spellStart"/>
      <w:r>
        <w:rPr>
          <w:rFonts w:hint="cs"/>
          <w:rtl/>
        </w:rPr>
        <w:t>הכל</w:t>
      </w:r>
      <w:proofErr w:type="spellEnd"/>
      <w:r>
        <w:rPr>
          <w:rFonts w:hint="cs"/>
          <w:rtl/>
        </w:rPr>
        <w:t xml:space="preserve"> מרצונו. קבלת קניין פירושה התחייבות ממונית חלוטה ללא כל תנאי, ואף לא בסידור הגט. לכן ההסכם מפרט כי רק ויתור על הכתובה מותנה בסידור הגט. </w:t>
      </w:r>
    </w:p>
    <w:p w14:paraId="7CA7D74F" w14:textId="77777777" w:rsidR="00BA19D6" w:rsidRDefault="00BA19D6" w:rsidP="00BA19D6">
      <w:pPr>
        <w:pStyle w:val="ae"/>
        <w:numPr>
          <w:ilvl w:val="0"/>
          <w:numId w:val="37"/>
        </w:numPr>
      </w:pPr>
      <w:r>
        <w:rPr>
          <w:rFonts w:hint="cs"/>
          <w:rtl/>
        </w:rPr>
        <w:t xml:space="preserve">מטרת האיש בבקשה לביטול ההסכם היא הדירה שבהליך פינוי בינוי. אולם עוד בחיי האישה, רק היא קיבלה פיצויים ושכירות עבור דירה זו. מכאן הוכחה כי האיש יודע שהדירה כולה של האישה המנוחה. </w:t>
      </w:r>
    </w:p>
    <w:p w14:paraId="4DFBE3AA" w14:textId="77777777" w:rsidR="00BA19D6" w:rsidRDefault="00BA19D6" w:rsidP="00BA19D6">
      <w:pPr>
        <w:pStyle w:val="ae"/>
        <w:numPr>
          <w:ilvl w:val="0"/>
          <w:numId w:val="37"/>
        </w:numPr>
      </w:pPr>
      <w:r>
        <w:rPr>
          <w:rFonts w:hint="cs"/>
          <w:rtl/>
        </w:rPr>
        <w:t>המשיבה מכחישה כי יש לה נפקות בין שתי הצוואות האחרונות של האם. לדבריה, אחותה [כ'] היא זו שעומדת אחרי האב בתביעותיו.</w:t>
      </w:r>
    </w:p>
    <w:p w14:paraId="5359D53C" w14:textId="77777777" w:rsidR="00BA19D6" w:rsidRDefault="00BA19D6" w:rsidP="00BA19D6">
      <w:pPr>
        <w:pStyle w:val="ae"/>
        <w:numPr>
          <w:ilvl w:val="0"/>
          <w:numId w:val="37"/>
        </w:numPr>
      </w:pPr>
      <w:r>
        <w:rPr>
          <w:rFonts w:hint="cs"/>
          <w:rtl/>
        </w:rPr>
        <w:t xml:space="preserve">לזוג דירה משותפת ברמת גן, ולבעל דירה בת"א. דירה זו נמכרה ע"י האיש וכל תמורתה שלו. הצדדים חיו בנפרד 20 שנה לפני אישור ההסכם. האיש הודה בקרע הממושך. כבר ב 24.12.2013 פתח תיק גירושין תוך ציון שהאישה מסכימה. בדיון ב 31.05.2020 הצהירו הצדדים שהם מבינים את ההסכם, את משמעותו ואת ההתחייבויות שבו. האיש הצהיר על כך בסעיף 11 להסכם. על כך נעשה הקניין, וכך נכתב בהחלטה שלאחר הדיון. בפרוטוקול הדיון שורה 9 </w:t>
      </w:r>
      <w:r>
        <w:rPr>
          <w:rtl/>
        </w:rPr>
        <w:t>–</w:t>
      </w:r>
      <w:r>
        <w:rPr>
          <w:rFonts w:hint="cs"/>
          <w:rtl/>
        </w:rPr>
        <w:t xml:space="preserve"> "האיש</w:t>
      </w:r>
      <w:r w:rsidRPr="002A0C96">
        <w:rPr>
          <w:rtl/>
        </w:rPr>
        <w:t xml:space="preserve">: </w:t>
      </w:r>
      <w:r w:rsidRPr="002A0C96">
        <w:rPr>
          <w:rFonts w:hint="cs"/>
          <w:rtl/>
        </w:rPr>
        <w:t>נכון</w:t>
      </w:r>
      <w:r>
        <w:rPr>
          <w:rFonts w:hint="cs"/>
          <w:rtl/>
        </w:rPr>
        <w:t xml:space="preserve">, </w:t>
      </w:r>
      <w:r w:rsidRPr="002A0C96">
        <w:rPr>
          <w:rFonts w:hint="cs"/>
          <w:rtl/>
        </w:rPr>
        <w:t>אני</w:t>
      </w:r>
      <w:r w:rsidRPr="002A0C96">
        <w:rPr>
          <w:rtl/>
        </w:rPr>
        <w:t xml:space="preserve"> </w:t>
      </w:r>
      <w:r w:rsidRPr="002A0C96">
        <w:rPr>
          <w:rFonts w:hint="cs"/>
          <w:rtl/>
        </w:rPr>
        <w:t>מוותר</w:t>
      </w:r>
      <w:r w:rsidRPr="002A0C96">
        <w:rPr>
          <w:rtl/>
        </w:rPr>
        <w:t xml:space="preserve"> </w:t>
      </w:r>
      <w:r w:rsidRPr="002A0C96">
        <w:rPr>
          <w:rFonts w:hint="cs"/>
          <w:rtl/>
        </w:rPr>
        <w:t>על</w:t>
      </w:r>
      <w:r w:rsidRPr="002A0C96">
        <w:rPr>
          <w:rtl/>
        </w:rPr>
        <w:t xml:space="preserve"> </w:t>
      </w:r>
      <w:r w:rsidRPr="002A0C96">
        <w:rPr>
          <w:rFonts w:hint="cs"/>
          <w:rtl/>
        </w:rPr>
        <w:t>הכול</w:t>
      </w:r>
      <w:r>
        <w:rPr>
          <w:rFonts w:hint="cs"/>
          <w:rtl/>
        </w:rPr>
        <w:t>,</w:t>
      </w:r>
      <w:r w:rsidRPr="002A0C96">
        <w:rPr>
          <w:rtl/>
        </w:rPr>
        <w:t xml:space="preserve"> </w:t>
      </w:r>
      <w:r w:rsidRPr="002A0C96">
        <w:rPr>
          <w:rFonts w:hint="cs"/>
          <w:rtl/>
        </w:rPr>
        <w:t>מסכימים</w:t>
      </w:r>
      <w:r w:rsidRPr="002A0C96">
        <w:rPr>
          <w:rtl/>
        </w:rPr>
        <w:t xml:space="preserve"> </w:t>
      </w:r>
      <w:r w:rsidRPr="002A0C96">
        <w:rPr>
          <w:rFonts w:hint="cs"/>
          <w:rtl/>
        </w:rPr>
        <w:t>שנינו</w:t>
      </w:r>
      <w:r>
        <w:rPr>
          <w:rFonts w:hint="cs"/>
          <w:rtl/>
        </w:rPr>
        <w:t xml:space="preserve">, </w:t>
      </w:r>
      <w:r w:rsidRPr="002A0C96">
        <w:rPr>
          <w:rFonts w:hint="cs"/>
          <w:rtl/>
        </w:rPr>
        <w:t>נתתי</w:t>
      </w:r>
      <w:r w:rsidRPr="002A0C96">
        <w:rPr>
          <w:rtl/>
        </w:rPr>
        <w:t xml:space="preserve"> </w:t>
      </w:r>
      <w:r w:rsidRPr="002A0C96">
        <w:rPr>
          <w:rFonts w:hint="cs"/>
          <w:rtl/>
        </w:rPr>
        <w:t>חצי</w:t>
      </w:r>
      <w:r w:rsidRPr="002A0C96">
        <w:rPr>
          <w:rtl/>
        </w:rPr>
        <w:t xml:space="preserve"> </w:t>
      </w:r>
      <w:r w:rsidRPr="002A0C96">
        <w:rPr>
          <w:rFonts w:hint="cs"/>
          <w:rtl/>
        </w:rPr>
        <w:t>דירה</w:t>
      </w:r>
      <w:r w:rsidRPr="002A0C96">
        <w:rPr>
          <w:rtl/>
        </w:rPr>
        <w:t xml:space="preserve"> </w:t>
      </w:r>
      <w:r w:rsidRPr="002A0C96">
        <w:rPr>
          <w:rFonts w:hint="cs"/>
          <w:rtl/>
        </w:rPr>
        <w:t>בהסכמה</w:t>
      </w:r>
      <w:r w:rsidRPr="002A0C96">
        <w:rPr>
          <w:rtl/>
        </w:rPr>
        <w:t xml:space="preserve"> </w:t>
      </w:r>
      <w:r w:rsidRPr="002A0C96">
        <w:rPr>
          <w:rFonts w:hint="cs"/>
          <w:rtl/>
        </w:rPr>
        <w:t>מלאה.</w:t>
      </w:r>
      <w:r>
        <w:rPr>
          <w:rFonts w:hint="cs"/>
          <w:rtl/>
        </w:rPr>
        <w:t>"</w:t>
      </w:r>
    </w:p>
    <w:p w14:paraId="38564EE4" w14:textId="77777777" w:rsidR="00BA19D6" w:rsidRDefault="00BA19D6" w:rsidP="00BA19D6">
      <w:pPr>
        <w:pStyle w:val="ae"/>
        <w:numPr>
          <w:ilvl w:val="0"/>
          <w:numId w:val="37"/>
        </w:numPr>
      </w:pPr>
      <w:r>
        <w:rPr>
          <w:rFonts w:hint="cs"/>
          <w:rtl/>
        </w:rPr>
        <w:t xml:space="preserve">לאיש הייתה סיבה כפולה להעביר את  כל הדירה לאישה: היא היחידה שנשאה בעול כל השנים, ואת כספי הדירה בת"א הוא נטל לבדו. </w:t>
      </w:r>
    </w:p>
    <w:p w14:paraId="621D507A" w14:textId="77777777" w:rsidR="00BA19D6" w:rsidRDefault="00BA19D6" w:rsidP="00BA19D6">
      <w:pPr>
        <w:pStyle w:val="ae"/>
        <w:numPr>
          <w:ilvl w:val="0"/>
          <w:numId w:val="37"/>
        </w:numPr>
      </w:pPr>
      <w:r>
        <w:rPr>
          <w:rFonts w:hint="cs"/>
          <w:rtl/>
        </w:rPr>
        <w:lastRenderedPageBreak/>
        <w:t>ב 10.06.2020 התייצב האיש לסידור גט. האישה לא הגיעה מכיוון שהייתה מאושפזת. לבקשתה, נקבע מועד לסידור גט ל 12.10.2020. האישה הגיעה, האיש לא הגיע. נקבע מועד נוסף ל- 28.10.2020. ב 15.10.2020 הוגשה בקשת האיש לביטול ההסכם. ביה"ד הורה על קביעת מועד לדיון בבקשה זו, אולם ביום 04.05.2021 האישה ז"ל נפטרה. האישה השאירה צוואה, אולם ביום 13.09.2021 הוגשה לביהמ"ש לענייני משפחה התנגדות ע"י האב והבת [כ</w:t>
      </w:r>
      <w:r>
        <w:rPr>
          <w:rtl/>
        </w:rPr>
        <w:t>'</w:t>
      </w:r>
      <w:r>
        <w:rPr>
          <w:rFonts w:hint="cs"/>
          <w:rtl/>
        </w:rPr>
        <w:t xml:space="preserve">]. </w:t>
      </w:r>
    </w:p>
    <w:p w14:paraId="19A53562" w14:textId="77777777" w:rsidR="00BA19D6" w:rsidRDefault="00BA19D6" w:rsidP="00BA19D6">
      <w:pPr>
        <w:pStyle w:val="ae"/>
        <w:numPr>
          <w:ilvl w:val="0"/>
          <w:numId w:val="37"/>
        </w:numPr>
        <w:rPr>
          <w:rtl/>
        </w:rPr>
      </w:pPr>
      <w:r>
        <w:rPr>
          <w:rFonts w:hint="cs"/>
          <w:rtl/>
        </w:rPr>
        <w:t xml:space="preserve">ביום 23.01.2023 דחה ביה"ד את בקשת האיש, כדלקמן: </w:t>
      </w:r>
    </w:p>
    <w:p w14:paraId="71FDBB01" w14:textId="77777777" w:rsidR="00BA19D6" w:rsidRDefault="00BA19D6" w:rsidP="00BA19D6">
      <w:pPr>
        <w:pStyle w:val="aa"/>
        <w:ind w:left="1440"/>
        <w:rPr>
          <w:rtl/>
          <w:lang w:eastAsia="he-IL"/>
        </w:rPr>
      </w:pPr>
      <w:r>
        <w:rPr>
          <w:rFonts w:hint="cs"/>
          <w:rtl/>
          <w:lang w:eastAsia="he-IL"/>
        </w:rPr>
        <w:t>"לאחר העיון בבקשה מחליט ביה"ד כדלהלן:</w:t>
      </w:r>
    </w:p>
    <w:p w14:paraId="2DFBFD5D" w14:textId="77777777" w:rsidR="00BA19D6" w:rsidRDefault="00BA19D6" w:rsidP="00BA19D6">
      <w:pPr>
        <w:pStyle w:val="aa"/>
        <w:ind w:left="1440"/>
        <w:rPr>
          <w:rtl/>
          <w:lang w:eastAsia="he-IL"/>
        </w:rPr>
      </w:pPr>
      <w:r>
        <w:rPr>
          <w:rFonts w:hint="cs"/>
          <w:rtl/>
          <w:lang w:eastAsia="he-IL"/>
        </w:rPr>
        <w:t>מהעיון בכתבי ביה"ד ובפרוטוקול מתברר שההליך התקיים כנדרש, בהופעת הצדדים בכותלי ביה"ד ובנוכחות דיין מדייני ההרכב.</w:t>
      </w:r>
    </w:p>
    <w:p w14:paraId="3733B71F" w14:textId="77777777" w:rsidR="00BA19D6" w:rsidRDefault="00BA19D6" w:rsidP="00BA19D6">
      <w:pPr>
        <w:pStyle w:val="aa"/>
        <w:ind w:left="1440"/>
        <w:rPr>
          <w:rtl/>
          <w:lang w:eastAsia="he-IL"/>
        </w:rPr>
      </w:pPr>
      <w:r>
        <w:rPr>
          <w:rFonts w:hint="cs"/>
          <w:rtl/>
          <w:lang w:eastAsia="he-IL"/>
        </w:rPr>
        <w:t>רק לאחר שהתברר לביה"ד ע"י תשאול הצדדים על הבנתם והסכמתם להסכם נתן ביה"ד תוקף של פסק דין לנכתב.</w:t>
      </w:r>
    </w:p>
    <w:p w14:paraId="5604EE09" w14:textId="1ED5BA82" w:rsidR="00BA19D6" w:rsidRPr="0055376A" w:rsidRDefault="00BA19D6" w:rsidP="00BA19D6">
      <w:pPr>
        <w:pStyle w:val="aa"/>
        <w:ind w:left="1440"/>
        <w:rPr>
          <w:rtl/>
          <w:lang w:eastAsia="he-IL"/>
        </w:rPr>
      </w:pPr>
      <w:r>
        <w:rPr>
          <w:rFonts w:hint="cs"/>
          <w:rtl/>
          <w:lang w:eastAsia="he-IL"/>
        </w:rPr>
        <w:t>כעת לאחר פטירת</w:t>
      </w:r>
      <w:r w:rsidR="0061419D">
        <w:rPr>
          <w:rFonts w:hint="cs"/>
          <w:rtl/>
          <w:lang w:eastAsia="he-IL"/>
        </w:rPr>
        <w:t>ו</w:t>
      </w:r>
      <w:r>
        <w:rPr>
          <w:rFonts w:hint="cs"/>
          <w:rtl/>
          <w:lang w:eastAsia="he-IL"/>
        </w:rPr>
        <w:t xml:space="preserve"> של מי מהצדדים ברור שלא ניתן לפתוח תביעה על כך."</w:t>
      </w:r>
    </w:p>
    <w:p w14:paraId="162CBDF1" w14:textId="77777777" w:rsidR="00BA19D6" w:rsidRPr="0030582A" w:rsidRDefault="00BA19D6" w:rsidP="00BA19D6">
      <w:pPr>
        <w:snapToGrid w:val="0"/>
        <w:spacing w:after="120" w:line="276" w:lineRule="auto"/>
        <w:ind w:left="720"/>
        <w:rPr>
          <w:rtl/>
          <w:lang w:eastAsia="he-IL"/>
        </w:rPr>
      </w:pPr>
      <w:r>
        <w:rPr>
          <w:rFonts w:hint="cs"/>
          <w:rtl/>
          <w:lang w:eastAsia="he-IL"/>
        </w:rPr>
        <w:t xml:space="preserve">האיש  לא </w:t>
      </w:r>
      <w:r>
        <w:rPr>
          <w:rFonts w:hint="cs"/>
          <w:rtl/>
        </w:rPr>
        <w:t>ערער</w:t>
      </w:r>
      <w:r>
        <w:rPr>
          <w:rFonts w:hint="cs"/>
          <w:rtl/>
          <w:lang w:eastAsia="he-IL"/>
        </w:rPr>
        <w:t xml:space="preserve"> על החלטה זו. רק לאחר בקשה לעיון מחדש נקבע מועד דיון. </w:t>
      </w:r>
    </w:p>
    <w:p w14:paraId="4D7F84E4" w14:textId="77777777" w:rsidR="00BA19D6" w:rsidRDefault="00BA19D6" w:rsidP="00BA19D6">
      <w:pPr>
        <w:pStyle w:val="ae"/>
        <w:numPr>
          <w:ilvl w:val="0"/>
          <w:numId w:val="37"/>
        </w:numPr>
        <w:rPr>
          <w:rtl/>
        </w:rPr>
      </w:pPr>
      <w:r>
        <w:rPr>
          <w:rFonts w:hint="cs"/>
          <w:rtl/>
        </w:rPr>
        <w:t xml:space="preserve">ב"כ המשיבה ציטט את דברי </w:t>
      </w:r>
      <w:proofErr w:type="spellStart"/>
      <w:r>
        <w:rPr>
          <w:rFonts w:hint="cs"/>
          <w:rtl/>
        </w:rPr>
        <w:t>השו"ע</w:t>
      </w:r>
      <w:proofErr w:type="spellEnd"/>
      <w:r>
        <w:rPr>
          <w:rFonts w:hint="cs"/>
          <w:rtl/>
        </w:rPr>
        <w:t xml:space="preserve"> </w:t>
      </w:r>
      <w:proofErr w:type="spellStart"/>
      <w:r>
        <w:rPr>
          <w:rFonts w:hint="cs"/>
          <w:rtl/>
        </w:rPr>
        <w:t>חו"מ</w:t>
      </w:r>
      <w:proofErr w:type="spellEnd"/>
      <w:r>
        <w:rPr>
          <w:rFonts w:hint="cs"/>
          <w:rtl/>
        </w:rPr>
        <w:t xml:space="preserve"> סימן </w:t>
      </w:r>
      <w:proofErr w:type="spellStart"/>
      <w:r>
        <w:rPr>
          <w:rFonts w:hint="cs"/>
          <w:rtl/>
        </w:rPr>
        <w:t>סא</w:t>
      </w:r>
      <w:proofErr w:type="spellEnd"/>
      <w:r>
        <w:rPr>
          <w:rFonts w:hint="cs"/>
          <w:rtl/>
        </w:rPr>
        <w:t xml:space="preserve"> </w:t>
      </w:r>
      <w:proofErr w:type="spellStart"/>
      <w:r>
        <w:rPr>
          <w:rFonts w:hint="cs"/>
          <w:rtl/>
        </w:rPr>
        <w:t>והש"ך</w:t>
      </w:r>
      <w:proofErr w:type="spellEnd"/>
      <w:r>
        <w:rPr>
          <w:rFonts w:hint="cs"/>
          <w:rtl/>
        </w:rPr>
        <w:t xml:space="preserve"> שם, ולפיהם מי שסמך על אחר וחתם על שטר, אינו יכול לטעון לחוסר הבנה. ק"ו ביחס להחלטת ביה"ד שאישרה הסכם לאחר שנבדק כי ההסכם מובן. </w:t>
      </w:r>
    </w:p>
    <w:p w14:paraId="3019FD77" w14:textId="77777777" w:rsidR="00BA19D6" w:rsidRDefault="00BA19D6" w:rsidP="00BA19D6">
      <w:pPr>
        <w:pStyle w:val="ae"/>
        <w:numPr>
          <w:ilvl w:val="0"/>
          <w:numId w:val="37"/>
        </w:numPr>
        <w:rPr>
          <w:rtl/>
        </w:rPr>
      </w:pPr>
      <w:r>
        <w:rPr>
          <w:rFonts w:hint="cs"/>
          <w:rtl/>
        </w:rPr>
        <w:t xml:space="preserve">אי סידור גט בפועל אינו עילה לביטול ההסכם, במיוחד כשהאיש דרש כל העת את הגירושין. </w:t>
      </w:r>
    </w:p>
    <w:p w14:paraId="701D8183" w14:textId="77777777" w:rsidR="00BA19D6" w:rsidRDefault="00BA19D6" w:rsidP="00BA19D6">
      <w:pPr>
        <w:pStyle w:val="ae"/>
        <w:numPr>
          <w:ilvl w:val="0"/>
          <w:numId w:val="37"/>
        </w:numPr>
        <w:rPr>
          <w:rtl/>
        </w:rPr>
      </w:pPr>
      <w:r>
        <w:rPr>
          <w:rFonts w:hint="cs"/>
          <w:rtl/>
        </w:rPr>
        <w:t xml:space="preserve">עוד מצטט ב"כ המשיבה פס"ד של ביה"ד הגדול </w:t>
      </w:r>
      <w:r w:rsidRPr="00BA19D6">
        <w:rPr>
          <w:rFonts w:hint="cs"/>
          <w:szCs w:val="24"/>
          <w:rtl/>
        </w:rPr>
        <w:t>(תיק מס' 1166084/3)</w:t>
      </w:r>
      <w:r>
        <w:rPr>
          <w:rFonts w:hint="cs"/>
          <w:rtl/>
        </w:rPr>
        <w:t xml:space="preserve"> המבחין בין שני סוגים של התחייבויות המופיעות בהסכם:</w:t>
      </w:r>
    </w:p>
    <w:p w14:paraId="36FE8324" w14:textId="77777777" w:rsidR="00BA19D6" w:rsidRDefault="00BA19D6" w:rsidP="00BA19D6">
      <w:pPr>
        <w:pStyle w:val="aa"/>
        <w:ind w:left="1440"/>
        <w:rPr>
          <w:rtl/>
          <w:lang w:eastAsia="he-IL"/>
        </w:rPr>
      </w:pPr>
      <w:r>
        <w:rPr>
          <w:rFonts w:hint="cs"/>
          <w:rtl/>
        </w:rPr>
        <w:t>"</w:t>
      </w:r>
      <w:r w:rsidRPr="00161E17">
        <w:rPr>
          <w:rtl/>
        </w:rPr>
        <w:t xml:space="preserve">יש </w:t>
      </w:r>
      <w:r>
        <w:rPr>
          <w:rFonts w:hint="cs"/>
          <w:rtl/>
        </w:rPr>
        <w:t>ה</w:t>
      </w:r>
      <w:r w:rsidRPr="00161E17">
        <w:rPr>
          <w:rtl/>
        </w:rPr>
        <w:t>בחנה ברורה בין חלקים בהסכם שנוצרו רק סביב הגירושין לבין חלקים העוסקים בחובות ו</w:t>
      </w:r>
      <w:r>
        <w:rPr>
          <w:rFonts w:hint="cs"/>
          <w:rtl/>
        </w:rPr>
        <w:t>ב</w:t>
      </w:r>
      <w:r w:rsidRPr="00161E17">
        <w:rPr>
          <w:rtl/>
        </w:rPr>
        <w:t>התחייבויות של צד זה או אחר שאינן תלויות כלל בגירושין אך מוזכ</w:t>
      </w:r>
      <w:r>
        <w:rPr>
          <w:rFonts w:hint="cs"/>
          <w:rtl/>
        </w:rPr>
        <w:t>רות</w:t>
      </w:r>
      <w:r>
        <w:rPr>
          <w:rtl/>
        </w:rPr>
        <w:t xml:space="preserve"> כחלק מהסכם הגירושין</w:t>
      </w:r>
      <w:r>
        <w:rPr>
          <w:rFonts w:hint="cs"/>
          <w:rtl/>
        </w:rPr>
        <w:t xml:space="preserve">. יש בהסכם </w:t>
      </w:r>
      <w:r w:rsidRPr="00161E17">
        <w:rPr>
          <w:rtl/>
        </w:rPr>
        <w:t>התחייבויות הנובעות ממתן הגט</w:t>
      </w:r>
      <w:r>
        <w:rPr>
          <w:rFonts w:hint="cs"/>
          <w:rtl/>
        </w:rPr>
        <w:t xml:space="preserve"> ויש </w:t>
      </w:r>
      <w:r w:rsidRPr="00161E17">
        <w:rPr>
          <w:rtl/>
        </w:rPr>
        <w:t>התחייבויות שאינן נובעות ממתן הגט</w:t>
      </w:r>
      <w:r>
        <w:rPr>
          <w:rFonts w:hint="cs"/>
          <w:rtl/>
        </w:rPr>
        <w:t>,</w:t>
      </w:r>
      <w:r w:rsidRPr="00161E17">
        <w:rPr>
          <w:rtl/>
        </w:rPr>
        <w:t xml:space="preserve"> </w:t>
      </w:r>
      <w:r>
        <w:rPr>
          <w:rFonts w:hint="cs"/>
          <w:rtl/>
        </w:rPr>
        <w:t>ואין לקשור בין מתן הגט להתחייבויות הממוניות שאינן תלויות בו."</w:t>
      </w:r>
    </w:p>
    <w:p w14:paraId="5CF9BBFE" w14:textId="77777777" w:rsidR="00BA19D6" w:rsidRDefault="00BA19D6" w:rsidP="00BA19D6">
      <w:pPr>
        <w:pStyle w:val="ae"/>
        <w:numPr>
          <w:ilvl w:val="0"/>
          <w:numId w:val="37"/>
        </w:numPr>
        <w:rPr>
          <w:rtl/>
        </w:rPr>
      </w:pPr>
      <w:r>
        <w:rPr>
          <w:rFonts w:hint="cs"/>
          <w:rtl/>
        </w:rPr>
        <w:t xml:space="preserve">ב"כ המשיבה  טוען כי האיש כלל לא העלה בבקשתו לביטול ההסכם את הנימוק שלא סודר גט. רק כמענה לשאלת ביה"ד אימצו האיש וב"כ את עובדת אי סידור הגט כנימוק לביטול ההסכם. </w:t>
      </w:r>
    </w:p>
    <w:p w14:paraId="73ADD6C9" w14:textId="77777777" w:rsidR="00BA19D6" w:rsidRDefault="00BA19D6" w:rsidP="00BA19D6">
      <w:pPr>
        <w:pStyle w:val="ae"/>
        <w:numPr>
          <w:ilvl w:val="0"/>
          <w:numId w:val="37"/>
        </w:numPr>
        <w:rPr>
          <w:rtl/>
        </w:rPr>
      </w:pPr>
      <w:r>
        <w:rPr>
          <w:rFonts w:hint="cs"/>
          <w:rtl/>
        </w:rPr>
        <w:t xml:space="preserve">הקבלן פנה בדרישת תשלום ליורשי האם </w:t>
      </w:r>
      <w:r>
        <w:rPr>
          <w:rtl/>
        </w:rPr>
        <w:t>–</w:t>
      </w:r>
      <w:r>
        <w:rPr>
          <w:rFonts w:hint="cs"/>
          <w:rtl/>
        </w:rPr>
        <w:t xml:space="preserve"> מוכח שהם הבעלים ע"פ הסכם הגירושין. </w:t>
      </w:r>
    </w:p>
    <w:p w14:paraId="6F15E337" w14:textId="77777777" w:rsidR="00BA19D6" w:rsidRDefault="00BA19D6" w:rsidP="00BA19D6">
      <w:pPr>
        <w:pStyle w:val="af"/>
        <w:ind w:firstLine="0"/>
        <w:rPr>
          <w:rFonts w:ascii="Arial" w:eastAsia="Times New Roman" w:hAnsi="Arial" w:cs="Narkisim"/>
          <w:b/>
          <w:bCs/>
          <w:kern w:val="0"/>
          <w:sz w:val="24"/>
          <w:szCs w:val="24"/>
          <w:rtl/>
          <w:lang w:eastAsia="he-IL"/>
        </w:rPr>
      </w:pPr>
    </w:p>
    <w:p w14:paraId="35BA9B1C" w14:textId="77777777" w:rsidR="00BA19D6" w:rsidRDefault="00BA19D6" w:rsidP="00BA19D6">
      <w:pPr>
        <w:pStyle w:val="af"/>
        <w:ind w:firstLine="0"/>
        <w:rPr>
          <w:rFonts w:ascii="Arial" w:eastAsia="Times New Roman" w:hAnsi="Arial" w:cs="Narkisim"/>
          <w:b/>
          <w:bCs/>
          <w:kern w:val="0"/>
          <w:sz w:val="24"/>
          <w:szCs w:val="24"/>
          <w:rtl/>
          <w:lang w:eastAsia="he-IL"/>
        </w:rPr>
      </w:pPr>
      <w:r w:rsidRPr="00C13963">
        <w:rPr>
          <w:rFonts w:ascii="Arial" w:eastAsia="Times New Roman" w:hAnsi="Arial" w:cs="Narkisim" w:hint="cs"/>
          <w:b/>
          <w:bCs/>
          <w:kern w:val="0"/>
          <w:sz w:val="24"/>
          <w:szCs w:val="24"/>
          <w:rtl/>
          <w:lang w:eastAsia="he-IL"/>
        </w:rPr>
        <w:t xml:space="preserve">דיון והכרעה </w:t>
      </w:r>
    </w:p>
    <w:p w14:paraId="52DD4AD3" w14:textId="7DAA3033" w:rsidR="00BA19D6" w:rsidRDefault="00BA19D6" w:rsidP="00BA19D6">
      <w:pPr>
        <w:snapToGrid w:val="0"/>
        <w:spacing w:after="120" w:line="276" w:lineRule="auto"/>
        <w:ind w:firstLine="397"/>
        <w:rPr>
          <w:lang w:eastAsia="he-IL"/>
        </w:rPr>
      </w:pPr>
      <w:r>
        <w:rPr>
          <w:rFonts w:hint="cs"/>
          <w:rtl/>
          <w:lang w:eastAsia="he-IL"/>
        </w:rPr>
        <w:t xml:space="preserve">א. הנושא העומד להכרעת ביה"ד הוא האם ביטול סעיף בהסכם מבטל את כל ההסכם, והאם </w:t>
      </w:r>
      <w:r>
        <w:rPr>
          <w:rFonts w:hint="cs"/>
          <w:rtl/>
        </w:rPr>
        <w:t>לעניין</w:t>
      </w:r>
      <w:r>
        <w:rPr>
          <w:rFonts w:hint="cs"/>
          <w:rtl/>
          <w:lang w:eastAsia="he-IL"/>
        </w:rPr>
        <w:t xml:space="preserve"> זה ישנו שוני בין סעיפים שונים. כלומר האם כל סעיפי ההסכם הינם שלובים זה בזה, וכל שלא מתקיים אחד מהסעיפים ההסכם כולו בטל, או ש</w:t>
      </w:r>
      <w:r w:rsidR="0061419D">
        <w:rPr>
          <w:rFonts w:hint="cs"/>
          <w:rtl/>
          <w:lang w:eastAsia="he-IL"/>
        </w:rPr>
        <w:t xml:space="preserve">עם </w:t>
      </w:r>
      <w:r>
        <w:rPr>
          <w:rFonts w:hint="cs"/>
          <w:rtl/>
          <w:lang w:eastAsia="he-IL"/>
        </w:rPr>
        <w:t xml:space="preserve">ביטול סעיף ההסכם קיים, חוץ מביטול סעיפים מסוימים מהותיים העומדים בליבת ההסכם. </w:t>
      </w:r>
    </w:p>
    <w:p w14:paraId="0E8C6FB3" w14:textId="77777777" w:rsidR="00BA19D6" w:rsidRDefault="00BA19D6" w:rsidP="00BA19D6">
      <w:pPr>
        <w:snapToGrid w:val="0"/>
        <w:spacing w:after="120" w:line="276" w:lineRule="auto"/>
        <w:ind w:firstLine="397"/>
        <w:rPr>
          <w:rtl/>
          <w:lang w:eastAsia="he-IL"/>
        </w:rPr>
      </w:pPr>
      <w:r>
        <w:rPr>
          <w:rFonts w:hint="cs"/>
          <w:rtl/>
          <w:lang w:eastAsia="he-IL"/>
        </w:rPr>
        <w:lastRenderedPageBreak/>
        <w:t>התשובה לשאלה היא, שבנושא זה ישנו "כלל ופרט". הכלל הוא, שאי קיום סעיף בהסכם אינו מבטל אוטומטי</w:t>
      </w:r>
      <w:r>
        <w:rPr>
          <w:rFonts w:hint="eastAsia"/>
          <w:rtl/>
          <w:lang w:eastAsia="he-IL"/>
        </w:rPr>
        <w:t>ת</w:t>
      </w:r>
      <w:r>
        <w:rPr>
          <w:rFonts w:hint="cs"/>
          <w:rtl/>
          <w:lang w:eastAsia="he-IL"/>
        </w:rPr>
        <w:t xml:space="preserve"> את ההסכם כולו. הפרט, שישנם סעיפים מהותיים שבהעדרם, ההסכם משולל תוכן ומתבטל כולו. סעיפים שמהותם היא תנאי לקיום ההסכם. מכיוון שכך, יש לעיין ולבדוק בכל מקרה לגופו מהו הסעיף שלא </w:t>
      </w:r>
      <w:proofErr w:type="spellStart"/>
      <w:r>
        <w:rPr>
          <w:rFonts w:hint="cs"/>
          <w:rtl/>
          <w:lang w:eastAsia="he-IL"/>
        </w:rPr>
        <w:t>קויים</w:t>
      </w:r>
      <w:proofErr w:type="spellEnd"/>
      <w:r>
        <w:rPr>
          <w:rFonts w:hint="cs"/>
          <w:rtl/>
          <w:lang w:eastAsia="he-IL"/>
        </w:rPr>
        <w:t xml:space="preserve">, וזו שאלה של פרשנות ההסכם. </w:t>
      </w:r>
    </w:p>
    <w:p w14:paraId="3CA5E0D9" w14:textId="77777777" w:rsidR="00BA19D6" w:rsidRDefault="00BA19D6" w:rsidP="00BA19D6">
      <w:pPr>
        <w:snapToGrid w:val="0"/>
        <w:spacing w:after="120" w:line="276" w:lineRule="auto"/>
        <w:ind w:firstLine="397"/>
        <w:rPr>
          <w:rtl/>
          <w:lang w:eastAsia="he-IL"/>
        </w:rPr>
      </w:pPr>
      <w:r>
        <w:rPr>
          <w:rFonts w:hint="cs"/>
          <w:rtl/>
          <w:lang w:eastAsia="he-IL"/>
        </w:rPr>
        <w:t xml:space="preserve">בפס"ד של ביה"ד הגדול </w:t>
      </w:r>
      <w:r w:rsidRPr="00BA19D6">
        <w:rPr>
          <w:rFonts w:hint="cs"/>
          <w:szCs w:val="24"/>
          <w:rtl/>
          <w:lang w:eastAsia="he-IL"/>
        </w:rPr>
        <w:t xml:space="preserve">(בהרכב הגאונים </w:t>
      </w:r>
      <w:proofErr w:type="spellStart"/>
      <w:r w:rsidRPr="00BA19D6">
        <w:rPr>
          <w:rFonts w:hint="cs"/>
          <w:szCs w:val="24"/>
          <w:rtl/>
          <w:lang w:eastAsia="he-IL"/>
        </w:rPr>
        <w:t>הגר"ש</w:t>
      </w:r>
      <w:proofErr w:type="spellEnd"/>
      <w:r w:rsidRPr="00BA19D6">
        <w:rPr>
          <w:rFonts w:hint="cs"/>
          <w:szCs w:val="24"/>
          <w:rtl/>
          <w:lang w:eastAsia="he-IL"/>
        </w:rPr>
        <w:t xml:space="preserve"> גורן, </w:t>
      </w:r>
      <w:proofErr w:type="spellStart"/>
      <w:r w:rsidRPr="00BA19D6">
        <w:rPr>
          <w:rFonts w:hint="cs"/>
          <w:szCs w:val="24"/>
          <w:rtl/>
          <w:lang w:eastAsia="he-IL"/>
        </w:rPr>
        <w:t>הגר"א</w:t>
      </w:r>
      <w:proofErr w:type="spellEnd"/>
      <w:r w:rsidRPr="00BA19D6">
        <w:rPr>
          <w:rFonts w:hint="cs"/>
          <w:szCs w:val="24"/>
          <w:rtl/>
          <w:lang w:eastAsia="he-IL"/>
        </w:rPr>
        <w:t xml:space="preserve"> שפירא </w:t>
      </w:r>
      <w:proofErr w:type="spellStart"/>
      <w:r w:rsidRPr="00BA19D6">
        <w:rPr>
          <w:rFonts w:hint="cs"/>
          <w:szCs w:val="24"/>
          <w:rtl/>
          <w:lang w:eastAsia="he-IL"/>
        </w:rPr>
        <w:t>והגר"ש</w:t>
      </w:r>
      <w:proofErr w:type="spellEnd"/>
      <w:r w:rsidRPr="00BA19D6">
        <w:rPr>
          <w:rFonts w:hint="cs"/>
          <w:szCs w:val="24"/>
          <w:rtl/>
          <w:lang w:eastAsia="he-IL"/>
        </w:rPr>
        <w:t xml:space="preserve"> מזרחי זכר צדיקים לברכה)</w:t>
      </w:r>
      <w:r>
        <w:rPr>
          <w:rFonts w:hint="cs"/>
          <w:rtl/>
          <w:lang w:eastAsia="he-IL"/>
        </w:rPr>
        <w:t xml:space="preserve"> </w:t>
      </w:r>
      <w:r>
        <w:rPr>
          <w:rtl/>
          <w:lang w:eastAsia="he-IL"/>
        </w:rPr>
        <w:t>חלק י</w:t>
      </w:r>
      <w:r>
        <w:rPr>
          <w:rFonts w:hint="cs"/>
          <w:rtl/>
          <w:lang w:eastAsia="he-IL"/>
        </w:rPr>
        <w:t>'</w:t>
      </w:r>
      <w:r>
        <w:rPr>
          <w:rtl/>
          <w:lang w:eastAsia="he-IL"/>
        </w:rPr>
        <w:t xml:space="preserve"> עמוד 132</w:t>
      </w:r>
      <w:r>
        <w:rPr>
          <w:rFonts w:hint="cs"/>
          <w:rtl/>
          <w:lang w:eastAsia="he-IL"/>
        </w:rPr>
        <w:t>:</w:t>
      </w:r>
    </w:p>
    <w:p w14:paraId="42AFAEDD" w14:textId="77777777" w:rsidR="00BA19D6" w:rsidRDefault="00BA19D6" w:rsidP="00BA19D6">
      <w:pPr>
        <w:pStyle w:val="aa"/>
        <w:rPr>
          <w:rtl/>
          <w:lang w:eastAsia="he-IL"/>
        </w:rPr>
      </w:pPr>
      <w:r>
        <w:rPr>
          <w:rFonts w:hint="cs"/>
          <w:rtl/>
          <w:lang w:eastAsia="he-IL"/>
        </w:rPr>
        <w:t>"</w:t>
      </w:r>
      <w:r>
        <w:rPr>
          <w:rtl/>
          <w:lang w:eastAsia="he-IL"/>
        </w:rPr>
        <w:t>אמנם במקרה שההתחייבות הכספית מוגדרת לגמרי כעומדת לעצמה ולא באה להסדיר את עניני הממון לאחר הגט, בזה יש כבר מקום לדון מה תוקף ההתחייבות כשאחד הצדדים מתחרט. וזה תלוי בנסיבות המקרה ובנוסח כתב ההתחייבות, כדי שנוכל לקבוע אם יש כאן עכ"פ גדר שהגירושין הם לכל הפחות תנאי למילוי ההתחייבות.</w:t>
      </w:r>
      <w:r>
        <w:rPr>
          <w:rFonts w:hint="cs"/>
          <w:rtl/>
          <w:lang w:eastAsia="he-IL"/>
        </w:rPr>
        <w:t>"</w:t>
      </w:r>
    </w:p>
    <w:p w14:paraId="68D41971" w14:textId="77777777" w:rsidR="00BA19D6" w:rsidRDefault="00BA19D6" w:rsidP="00BA19D6">
      <w:pPr>
        <w:snapToGrid w:val="0"/>
        <w:spacing w:after="120" w:line="276" w:lineRule="auto"/>
        <w:ind w:firstLine="397"/>
        <w:rPr>
          <w:rtl/>
          <w:lang w:eastAsia="he-IL"/>
        </w:rPr>
      </w:pPr>
      <w:r>
        <w:rPr>
          <w:rFonts w:hint="cs"/>
          <w:rtl/>
          <w:lang w:eastAsia="he-IL"/>
        </w:rPr>
        <w:t xml:space="preserve">ב. </w:t>
      </w:r>
      <w:proofErr w:type="spellStart"/>
      <w:r>
        <w:rPr>
          <w:rFonts w:hint="cs"/>
          <w:rtl/>
          <w:lang w:eastAsia="he-IL"/>
        </w:rPr>
        <w:t>ב</w:t>
      </w:r>
      <w:r>
        <w:rPr>
          <w:rtl/>
          <w:lang w:eastAsia="he-IL"/>
        </w:rPr>
        <w:t>שו"ת</w:t>
      </w:r>
      <w:proofErr w:type="spellEnd"/>
      <w:r>
        <w:rPr>
          <w:rtl/>
          <w:lang w:eastAsia="he-IL"/>
        </w:rPr>
        <w:t xml:space="preserve"> </w:t>
      </w:r>
      <w:proofErr w:type="spellStart"/>
      <w:r>
        <w:rPr>
          <w:rtl/>
          <w:lang w:eastAsia="he-IL"/>
        </w:rPr>
        <w:t>הרא"ש</w:t>
      </w:r>
      <w:proofErr w:type="spellEnd"/>
      <w:r>
        <w:rPr>
          <w:rtl/>
          <w:lang w:eastAsia="he-IL"/>
        </w:rPr>
        <w:t xml:space="preserve"> </w:t>
      </w:r>
      <w:r w:rsidRPr="00BA19D6">
        <w:rPr>
          <w:rFonts w:hint="cs"/>
          <w:szCs w:val="24"/>
          <w:rtl/>
          <w:lang w:eastAsia="he-IL"/>
        </w:rPr>
        <w:t>(</w:t>
      </w:r>
      <w:r w:rsidRPr="00BA19D6">
        <w:rPr>
          <w:szCs w:val="24"/>
          <w:rtl/>
          <w:lang w:eastAsia="he-IL"/>
        </w:rPr>
        <w:t>כלל יא סימן ו</w:t>
      </w:r>
      <w:r w:rsidRPr="00BA19D6">
        <w:rPr>
          <w:rFonts w:hint="cs"/>
          <w:szCs w:val="24"/>
          <w:rtl/>
          <w:lang w:eastAsia="he-IL"/>
        </w:rPr>
        <w:t>')</w:t>
      </w:r>
      <w:r>
        <w:rPr>
          <w:rFonts w:hint="cs"/>
          <w:rtl/>
          <w:lang w:eastAsia="he-IL"/>
        </w:rPr>
        <w:t xml:space="preserve"> נכתב כך: </w:t>
      </w:r>
    </w:p>
    <w:p w14:paraId="2BE0F6FE" w14:textId="77777777" w:rsidR="00BA19D6" w:rsidRDefault="00BA19D6" w:rsidP="00BA19D6">
      <w:pPr>
        <w:pStyle w:val="aa"/>
        <w:rPr>
          <w:rtl/>
          <w:lang w:eastAsia="he-IL"/>
        </w:rPr>
      </w:pPr>
      <w:r>
        <w:rPr>
          <w:rFonts w:hint="cs"/>
          <w:rtl/>
          <w:lang w:eastAsia="he-IL"/>
        </w:rPr>
        <w:t>"</w:t>
      </w:r>
      <w:r>
        <w:rPr>
          <w:rtl/>
          <w:lang w:eastAsia="he-IL"/>
        </w:rPr>
        <w:t xml:space="preserve">שאלה ראובן מת בלא זרע ונשארה אלמנתו זקוקה ליבם ונפלה קטטה ביניהם. עד שלבסוף נתפשר שנתנה ליבם הגדול סכום ומחל לה כל תביעות שהיו לו עליה ונסתלק מממון אחיו לגמרי ועל מנת שיחלוץ לה תוך זמן פלוני, ונשבע על זה שבועה בתורה. ושוב נתחרט ואמר שנשבע לבטל </w:t>
      </w:r>
      <w:proofErr w:type="spellStart"/>
      <w:r>
        <w:rPr>
          <w:rtl/>
          <w:lang w:eastAsia="he-IL"/>
        </w:rPr>
        <w:t>המצוה</w:t>
      </w:r>
      <w:proofErr w:type="spellEnd"/>
      <w:r>
        <w:rPr>
          <w:rtl/>
          <w:lang w:eastAsia="he-IL"/>
        </w:rPr>
        <w:t xml:space="preserve"> שהרי מושבע ועומד הוא ליבם ורוצה </w:t>
      </w:r>
      <w:proofErr w:type="spellStart"/>
      <w:r>
        <w:rPr>
          <w:rtl/>
          <w:lang w:eastAsia="he-IL"/>
        </w:rPr>
        <w:t>שתתיבם</w:t>
      </w:r>
      <w:proofErr w:type="spellEnd"/>
      <w:r>
        <w:rPr>
          <w:rtl/>
          <w:lang w:eastAsia="he-IL"/>
        </w:rPr>
        <w:t xml:space="preserve"> לאחיו הקטן שהוא פנוי יען כי הוא נשוי. </w:t>
      </w:r>
    </w:p>
    <w:p w14:paraId="70703A2C" w14:textId="77777777" w:rsidR="00BA19D6" w:rsidRDefault="00BA19D6" w:rsidP="00BA19D6">
      <w:pPr>
        <w:pStyle w:val="aa"/>
        <w:rPr>
          <w:rtl/>
          <w:lang w:eastAsia="he-IL"/>
        </w:rPr>
      </w:pPr>
      <w:r w:rsidRPr="00C13963">
        <w:rPr>
          <w:rtl/>
          <w:lang w:eastAsia="he-IL"/>
        </w:rPr>
        <w:t xml:space="preserve">תשובה יראה שעל הממון אין להם עוד טענה כי נסתלק </w:t>
      </w:r>
      <w:proofErr w:type="spellStart"/>
      <w:r w:rsidRPr="00C13963">
        <w:rPr>
          <w:rtl/>
          <w:lang w:eastAsia="he-IL"/>
        </w:rPr>
        <w:t>היבם</w:t>
      </w:r>
      <w:proofErr w:type="spellEnd"/>
      <w:r w:rsidRPr="00C13963">
        <w:rPr>
          <w:rtl/>
          <w:lang w:eastAsia="he-IL"/>
        </w:rPr>
        <w:t xml:space="preserve"> הגדול ומחל לה </w:t>
      </w:r>
      <w:proofErr w:type="spellStart"/>
      <w:r w:rsidRPr="00C13963">
        <w:rPr>
          <w:rtl/>
          <w:lang w:eastAsia="he-IL"/>
        </w:rPr>
        <w:t>הכל</w:t>
      </w:r>
      <w:proofErr w:type="spellEnd"/>
      <w:r w:rsidRPr="00C13963">
        <w:rPr>
          <w:rtl/>
          <w:lang w:eastAsia="he-IL"/>
        </w:rPr>
        <w:t xml:space="preserve"> חלקו וחלק אחיו בהרשאת אחיו. וחייב לקיים שבועה זו שנשבע לחלוץ לה</w:t>
      </w:r>
      <w:r>
        <w:rPr>
          <w:rtl/>
          <w:lang w:eastAsia="he-IL"/>
        </w:rPr>
        <w:t xml:space="preserve">, ואין זה נשבע לבטל </w:t>
      </w:r>
      <w:proofErr w:type="spellStart"/>
      <w:r>
        <w:rPr>
          <w:rtl/>
          <w:lang w:eastAsia="he-IL"/>
        </w:rPr>
        <w:t>המצוה</w:t>
      </w:r>
      <w:proofErr w:type="spellEnd"/>
      <w:r>
        <w:rPr>
          <w:rtl/>
          <w:lang w:eastAsia="he-IL"/>
        </w:rPr>
        <w:t xml:space="preserve"> </w:t>
      </w:r>
      <w:proofErr w:type="spellStart"/>
      <w:r>
        <w:rPr>
          <w:rtl/>
          <w:lang w:eastAsia="he-IL"/>
        </w:rPr>
        <w:t>דבדידיה</w:t>
      </w:r>
      <w:proofErr w:type="spellEnd"/>
      <w:r>
        <w:rPr>
          <w:rtl/>
          <w:lang w:eastAsia="he-IL"/>
        </w:rPr>
        <w:t xml:space="preserve"> תלה רחמנא אי ניחא ליה ליבם אי ניחא ליה לחלוץ, וכיון שבאותה שעה נתרצה לחלוץ זהו </w:t>
      </w:r>
      <w:proofErr w:type="spellStart"/>
      <w:r>
        <w:rPr>
          <w:rtl/>
          <w:lang w:eastAsia="he-IL"/>
        </w:rPr>
        <w:t>מצותו</w:t>
      </w:r>
      <w:proofErr w:type="spellEnd"/>
      <w:r>
        <w:rPr>
          <w:rtl/>
          <w:lang w:eastAsia="he-IL"/>
        </w:rPr>
        <w:t xml:space="preserve">. ולא נשבע לבטל </w:t>
      </w:r>
      <w:proofErr w:type="spellStart"/>
      <w:r>
        <w:rPr>
          <w:rtl/>
          <w:lang w:eastAsia="he-IL"/>
        </w:rPr>
        <w:t>המצוה</w:t>
      </w:r>
      <w:proofErr w:type="spellEnd"/>
      <w:r>
        <w:rPr>
          <w:rtl/>
          <w:lang w:eastAsia="he-IL"/>
        </w:rPr>
        <w:t xml:space="preserve"> אלא כנשבע שלא ישב בסוכה ושלא ליטול לולב אבל לחלוץ לא מיקרי נשבע לבטל </w:t>
      </w:r>
      <w:proofErr w:type="spellStart"/>
      <w:r>
        <w:rPr>
          <w:rtl/>
          <w:lang w:eastAsia="he-IL"/>
        </w:rPr>
        <w:t>המצוה</w:t>
      </w:r>
      <w:proofErr w:type="spellEnd"/>
      <w:r>
        <w:rPr>
          <w:rtl/>
          <w:lang w:eastAsia="he-IL"/>
        </w:rPr>
        <w:t xml:space="preserve"> כיון דאי בעי לחלוץ </w:t>
      </w:r>
      <w:proofErr w:type="spellStart"/>
      <w:r>
        <w:rPr>
          <w:rtl/>
          <w:lang w:eastAsia="he-IL"/>
        </w:rPr>
        <w:t>ליתא</w:t>
      </w:r>
      <w:proofErr w:type="spellEnd"/>
      <w:r>
        <w:rPr>
          <w:rtl/>
          <w:lang w:eastAsia="he-IL"/>
        </w:rPr>
        <w:t xml:space="preserve"> לעשה </w:t>
      </w:r>
      <w:proofErr w:type="spellStart"/>
      <w:r>
        <w:rPr>
          <w:rtl/>
          <w:lang w:eastAsia="he-IL"/>
        </w:rPr>
        <w:t>דמצות</w:t>
      </w:r>
      <w:proofErr w:type="spellEnd"/>
      <w:r>
        <w:rPr>
          <w:rtl/>
          <w:lang w:eastAsia="he-IL"/>
        </w:rPr>
        <w:t xml:space="preserve"> </w:t>
      </w:r>
      <w:proofErr w:type="spellStart"/>
      <w:r>
        <w:rPr>
          <w:rtl/>
          <w:lang w:eastAsia="he-IL"/>
        </w:rPr>
        <w:t>יבום</w:t>
      </w:r>
      <w:proofErr w:type="spellEnd"/>
      <w:r>
        <w:rPr>
          <w:rtl/>
          <w:lang w:eastAsia="he-IL"/>
        </w:rPr>
        <w:t xml:space="preserve">. וגם כי רגלים לדבר שבשביל הממון הן </w:t>
      </w:r>
      <w:proofErr w:type="spellStart"/>
      <w:r>
        <w:rPr>
          <w:rtl/>
          <w:lang w:eastAsia="he-IL"/>
        </w:rPr>
        <w:t>עושין</w:t>
      </w:r>
      <w:proofErr w:type="spellEnd"/>
      <w:r>
        <w:rPr>
          <w:rtl/>
          <w:lang w:eastAsia="he-IL"/>
        </w:rPr>
        <w:t xml:space="preserve"> החליצה היא עיקר </w:t>
      </w:r>
      <w:proofErr w:type="spellStart"/>
      <w:r>
        <w:rPr>
          <w:rtl/>
          <w:lang w:eastAsia="he-IL"/>
        </w:rPr>
        <w:t>המצוה</w:t>
      </w:r>
      <w:proofErr w:type="spellEnd"/>
      <w:r>
        <w:rPr>
          <w:rtl/>
          <w:lang w:eastAsia="he-IL"/>
        </w:rPr>
        <w:t xml:space="preserve"> כאן. אשר בן הרב רבי יחיאל ז"ל.</w:t>
      </w:r>
      <w:r>
        <w:rPr>
          <w:rFonts w:hint="cs"/>
          <w:rtl/>
          <w:lang w:eastAsia="he-IL"/>
        </w:rPr>
        <w:t>"</w:t>
      </w:r>
    </w:p>
    <w:p w14:paraId="1C74AA44" w14:textId="77777777" w:rsidR="00BA19D6" w:rsidRDefault="00BA19D6" w:rsidP="00BA19D6">
      <w:pPr>
        <w:snapToGrid w:val="0"/>
        <w:spacing w:after="120" w:line="276" w:lineRule="auto"/>
        <w:ind w:firstLine="397"/>
        <w:rPr>
          <w:rtl/>
          <w:lang w:eastAsia="he-IL"/>
        </w:rPr>
      </w:pPr>
      <w:r>
        <w:rPr>
          <w:rFonts w:hint="cs"/>
          <w:rtl/>
          <w:lang w:eastAsia="he-IL"/>
        </w:rPr>
        <w:t xml:space="preserve">מדברי </w:t>
      </w:r>
      <w:proofErr w:type="spellStart"/>
      <w:r>
        <w:rPr>
          <w:rFonts w:hint="cs"/>
          <w:rtl/>
          <w:lang w:eastAsia="he-IL"/>
        </w:rPr>
        <w:t>הרא"ש</w:t>
      </w:r>
      <w:proofErr w:type="spellEnd"/>
      <w:r>
        <w:rPr>
          <w:rFonts w:hint="cs"/>
          <w:rtl/>
          <w:lang w:eastAsia="he-IL"/>
        </w:rPr>
        <w:t xml:space="preserve"> עולה כי ההתחייבות הממונית חלה גם במקום שאין המעשה שבגינו התחייבו נעשה בפועל. </w:t>
      </w:r>
    </w:p>
    <w:p w14:paraId="42B4A4FB" w14:textId="77777777" w:rsidR="00BA19D6" w:rsidRDefault="00BA19D6" w:rsidP="00BA19D6">
      <w:pPr>
        <w:snapToGrid w:val="0"/>
        <w:spacing w:after="120" w:line="276" w:lineRule="auto"/>
        <w:ind w:firstLine="397"/>
        <w:rPr>
          <w:rtl/>
          <w:lang w:eastAsia="he-IL"/>
        </w:rPr>
      </w:pPr>
      <w:bookmarkStart w:id="1" w:name="_Hlk177030185"/>
      <w:r>
        <w:rPr>
          <w:rFonts w:hint="cs"/>
          <w:rtl/>
          <w:lang w:eastAsia="he-IL"/>
        </w:rPr>
        <w:t>ג. אולם עיין ב</w:t>
      </w:r>
      <w:r>
        <w:rPr>
          <w:rtl/>
          <w:lang w:eastAsia="he-IL"/>
        </w:rPr>
        <w:t>חושן משפט הלכות מקח וממכר סימן רז סעיף ד</w:t>
      </w:r>
      <w:r>
        <w:rPr>
          <w:rFonts w:hint="cs"/>
          <w:rtl/>
          <w:lang w:eastAsia="he-IL"/>
        </w:rPr>
        <w:t xml:space="preserve">', שדין נותן מתנה שונה מדין מוכר, ובנותן </w:t>
      </w:r>
      <w:proofErr w:type="spellStart"/>
      <w:r>
        <w:rPr>
          <w:rFonts w:hint="cs"/>
          <w:rtl/>
          <w:lang w:eastAsia="he-IL"/>
        </w:rPr>
        <w:t>אמרינן</w:t>
      </w:r>
      <w:proofErr w:type="spellEnd"/>
      <w:r>
        <w:rPr>
          <w:rFonts w:hint="cs"/>
          <w:rtl/>
          <w:lang w:eastAsia="he-IL"/>
        </w:rPr>
        <w:t xml:space="preserve"> דברים שבלב הינם דברים:</w:t>
      </w:r>
    </w:p>
    <w:p w14:paraId="272A0674" w14:textId="77777777" w:rsidR="00BA19D6" w:rsidRPr="00C13963" w:rsidRDefault="00BA19D6" w:rsidP="00BA19D6">
      <w:pPr>
        <w:pStyle w:val="aa"/>
        <w:rPr>
          <w:rtl/>
          <w:lang w:eastAsia="he-IL"/>
        </w:rPr>
      </w:pPr>
      <w:r>
        <w:rPr>
          <w:rFonts w:hint="cs"/>
          <w:rtl/>
          <w:lang w:eastAsia="he-IL"/>
        </w:rPr>
        <w:t>"</w:t>
      </w:r>
      <w:r>
        <w:rPr>
          <w:rtl/>
          <w:lang w:eastAsia="he-IL"/>
        </w:rPr>
        <w:t xml:space="preserve">אבל המוכר סתם, אף על פי שהיה </w:t>
      </w:r>
      <w:proofErr w:type="spellStart"/>
      <w:r>
        <w:rPr>
          <w:rtl/>
          <w:lang w:eastAsia="he-IL"/>
        </w:rPr>
        <w:t>בלבו</w:t>
      </w:r>
      <w:proofErr w:type="spellEnd"/>
      <w:r>
        <w:rPr>
          <w:rtl/>
          <w:lang w:eastAsia="he-IL"/>
        </w:rPr>
        <w:t xml:space="preserve"> שמפני כך וכך הוא מוכר, ואף על פי שנראים הדברים שלא מכר אלא לעשות כך וכך, ולא נעשה, אינו חוזר, שהרי לא פירש,</w:t>
      </w:r>
      <w:r>
        <w:rPr>
          <w:rFonts w:hint="cs"/>
          <w:rtl/>
          <w:lang w:eastAsia="he-IL"/>
        </w:rPr>
        <w:t xml:space="preserve"> </w:t>
      </w:r>
      <w:r>
        <w:rPr>
          <w:rtl/>
          <w:lang w:eastAsia="he-IL"/>
        </w:rPr>
        <w:t xml:space="preserve">ודברים שבלב אינם דברים. ואף על פי שקודם מכירה אמר שהוא מוכר על דעת לעשות כך וכך, כיון </w:t>
      </w:r>
      <w:proofErr w:type="spellStart"/>
      <w:r>
        <w:rPr>
          <w:rtl/>
          <w:lang w:eastAsia="he-IL"/>
        </w:rPr>
        <w:t>דבשעת</w:t>
      </w:r>
      <w:proofErr w:type="spellEnd"/>
      <w:r>
        <w:rPr>
          <w:rtl/>
          <w:lang w:eastAsia="he-IL"/>
        </w:rPr>
        <w:t xml:space="preserve"> המכירה לא אמר, אינו חוזר. </w:t>
      </w:r>
      <w:r w:rsidRPr="00C13963">
        <w:rPr>
          <w:rtl/>
          <w:lang w:eastAsia="he-IL"/>
        </w:rPr>
        <w:t xml:space="preserve">הגה: מיהו אי איכא </w:t>
      </w:r>
      <w:proofErr w:type="spellStart"/>
      <w:r w:rsidRPr="00C13963">
        <w:rPr>
          <w:rtl/>
          <w:lang w:eastAsia="he-IL"/>
        </w:rPr>
        <w:t>אומדנא</w:t>
      </w:r>
      <w:proofErr w:type="spellEnd"/>
      <w:r w:rsidRPr="00C13963">
        <w:rPr>
          <w:rtl/>
          <w:lang w:eastAsia="he-IL"/>
        </w:rPr>
        <w:t xml:space="preserve"> </w:t>
      </w:r>
      <w:proofErr w:type="spellStart"/>
      <w:r w:rsidRPr="00C13963">
        <w:rPr>
          <w:rtl/>
          <w:lang w:eastAsia="he-IL"/>
        </w:rPr>
        <w:t>דמוכח</w:t>
      </w:r>
      <w:proofErr w:type="spellEnd"/>
      <w:r w:rsidRPr="00C13963">
        <w:rPr>
          <w:rtl/>
          <w:lang w:eastAsia="he-IL"/>
        </w:rPr>
        <w:t xml:space="preserve">, נתבטל המקח </w:t>
      </w:r>
      <w:r w:rsidRPr="00BA19D6">
        <w:rPr>
          <w:szCs w:val="24"/>
          <w:rtl/>
          <w:lang w:eastAsia="he-IL"/>
        </w:rPr>
        <w:t xml:space="preserve">(תוספות </w:t>
      </w:r>
      <w:proofErr w:type="spellStart"/>
      <w:r w:rsidRPr="00BA19D6">
        <w:rPr>
          <w:szCs w:val="24"/>
          <w:rtl/>
          <w:lang w:eastAsia="he-IL"/>
        </w:rPr>
        <w:t>והרא"ש</w:t>
      </w:r>
      <w:proofErr w:type="spellEnd"/>
      <w:r w:rsidRPr="00BA19D6">
        <w:rPr>
          <w:szCs w:val="24"/>
          <w:rtl/>
          <w:lang w:eastAsia="he-IL"/>
        </w:rPr>
        <w:t xml:space="preserve"> כלל פ"ה)</w:t>
      </w:r>
      <w:r w:rsidRPr="00C13963">
        <w:rPr>
          <w:rtl/>
          <w:lang w:eastAsia="he-IL"/>
        </w:rPr>
        <w:t xml:space="preserve">. וי"א  </w:t>
      </w:r>
      <w:proofErr w:type="spellStart"/>
      <w:r w:rsidRPr="00C13963">
        <w:rPr>
          <w:rtl/>
          <w:lang w:eastAsia="he-IL"/>
        </w:rPr>
        <w:t>דבמתנה</w:t>
      </w:r>
      <w:proofErr w:type="spellEnd"/>
      <w:r>
        <w:rPr>
          <w:rFonts w:hint="cs"/>
          <w:rtl/>
          <w:lang w:eastAsia="he-IL"/>
        </w:rPr>
        <w:t>,</w:t>
      </w:r>
      <w:r w:rsidRPr="00C13963">
        <w:rPr>
          <w:rtl/>
          <w:lang w:eastAsia="he-IL"/>
        </w:rPr>
        <w:t xml:space="preserve"> דברים שבלב </w:t>
      </w:r>
      <w:proofErr w:type="spellStart"/>
      <w:r w:rsidRPr="00C13963">
        <w:rPr>
          <w:rtl/>
          <w:lang w:eastAsia="he-IL"/>
        </w:rPr>
        <w:t>הויין</w:t>
      </w:r>
      <w:proofErr w:type="spellEnd"/>
      <w:r w:rsidRPr="00C13963">
        <w:rPr>
          <w:rtl/>
          <w:lang w:eastAsia="he-IL"/>
        </w:rPr>
        <w:t xml:space="preserve"> דברים </w:t>
      </w:r>
      <w:r w:rsidRPr="00BA19D6">
        <w:rPr>
          <w:szCs w:val="24"/>
          <w:rtl/>
          <w:lang w:eastAsia="he-IL"/>
        </w:rPr>
        <w:t xml:space="preserve">(הגהות אלפסי פ' אלמנה </w:t>
      </w:r>
      <w:proofErr w:type="spellStart"/>
      <w:r w:rsidRPr="00BA19D6">
        <w:rPr>
          <w:szCs w:val="24"/>
          <w:rtl/>
          <w:lang w:eastAsia="he-IL"/>
        </w:rPr>
        <w:t>ניזונית</w:t>
      </w:r>
      <w:proofErr w:type="spellEnd"/>
      <w:r w:rsidRPr="00BA19D6">
        <w:rPr>
          <w:szCs w:val="24"/>
          <w:rtl/>
          <w:lang w:eastAsia="he-IL"/>
        </w:rPr>
        <w:t>)</w:t>
      </w:r>
      <w:r w:rsidRPr="00C13963">
        <w:rPr>
          <w:rFonts w:hint="cs"/>
          <w:rtl/>
          <w:lang w:eastAsia="he-IL"/>
        </w:rPr>
        <w:t>."</w:t>
      </w:r>
    </w:p>
    <w:p w14:paraId="12465EBE" w14:textId="77777777" w:rsidR="00BA19D6" w:rsidRDefault="00BA19D6" w:rsidP="00BA19D6">
      <w:pPr>
        <w:snapToGrid w:val="0"/>
        <w:spacing w:after="120" w:line="276" w:lineRule="auto"/>
        <w:ind w:firstLine="397"/>
        <w:rPr>
          <w:rtl/>
          <w:lang w:eastAsia="he-IL"/>
        </w:rPr>
      </w:pPr>
      <w:r w:rsidRPr="00663CD7">
        <w:rPr>
          <w:rFonts w:hint="cs"/>
          <w:rtl/>
          <w:lang w:eastAsia="he-IL"/>
        </w:rPr>
        <w:t>כלומר</w:t>
      </w:r>
      <w:r>
        <w:rPr>
          <w:rFonts w:hint="cs"/>
          <w:rtl/>
          <w:lang w:eastAsia="he-IL"/>
        </w:rPr>
        <w:t>,</w:t>
      </w:r>
      <w:r w:rsidRPr="00663CD7">
        <w:rPr>
          <w:rFonts w:hint="cs"/>
          <w:rtl/>
          <w:lang w:eastAsia="he-IL"/>
        </w:rPr>
        <w:t xml:space="preserve"> ישנם מצבים בהם נאמר כי כל </w:t>
      </w:r>
      <w:r>
        <w:rPr>
          <w:rFonts w:hint="cs"/>
          <w:rtl/>
          <w:lang w:eastAsia="he-IL"/>
        </w:rPr>
        <w:t>ש</w:t>
      </w:r>
      <w:r w:rsidRPr="00663CD7">
        <w:rPr>
          <w:rFonts w:hint="cs"/>
          <w:rtl/>
          <w:lang w:eastAsia="he-IL"/>
        </w:rPr>
        <w:t>הפעולה הותנתה בתנאי מסוים</w:t>
      </w:r>
      <w:r>
        <w:rPr>
          <w:rFonts w:hint="cs"/>
          <w:rtl/>
          <w:lang w:eastAsia="he-IL"/>
        </w:rPr>
        <w:t xml:space="preserve">, ובמתנה, גם אם לא נאמר התנאי במפורש, אך הוא ברור מאליו  התנאי חל. לפי זה, בנידון דידן, אם נאמר שהאיש נתן חלקו במתנה, אף שבלשונו נקט מתנה גמורה, </w:t>
      </w:r>
      <w:proofErr w:type="spellStart"/>
      <w:r>
        <w:rPr>
          <w:rFonts w:hint="cs"/>
          <w:rtl/>
          <w:lang w:eastAsia="he-IL"/>
        </w:rPr>
        <w:t>ובלבו</w:t>
      </w:r>
      <w:proofErr w:type="spellEnd"/>
      <w:r>
        <w:rPr>
          <w:rFonts w:hint="cs"/>
          <w:rtl/>
          <w:lang w:eastAsia="he-IL"/>
        </w:rPr>
        <w:t xml:space="preserve"> חשב שזו מתנה רק אגב הגירושין, הנתינה בטלה.</w:t>
      </w:r>
    </w:p>
    <w:bookmarkEnd w:id="1"/>
    <w:p w14:paraId="30AD6741" w14:textId="77777777" w:rsidR="00BA19D6" w:rsidRDefault="00BA19D6" w:rsidP="00BA19D6">
      <w:pPr>
        <w:snapToGrid w:val="0"/>
        <w:spacing w:after="120" w:line="276" w:lineRule="auto"/>
        <w:ind w:firstLine="397"/>
        <w:rPr>
          <w:lang w:eastAsia="he-IL"/>
        </w:rPr>
      </w:pPr>
      <w:r>
        <w:rPr>
          <w:rFonts w:hint="cs"/>
          <w:rtl/>
          <w:lang w:eastAsia="he-IL"/>
        </w:rPr>
        <w:t xml:space="preserve">ד. בדברי חז"ל מצאנו כמה מקורות בעניין זה: </w:t>
      </w:r>
    </w:p>
    <w:p w14:paraId="075F065A" w14:textId="77777777" w:rsidR="00BA19D6" w:rsidRDefault="00BA19D6" w:rsidP="00BA19D6">
      <w:pPr>
        <w:pStyle w:val="af"/>
        <w:numPr>
          <w:ilvl w:val="0"/>
          <w:numId w:val="33"/>
        </w:numPr>
        <w:rPr>
          <w:rtl/>
          <w:lang w:eastAsia="he-IL"/>
        </w:rPr>
      </w:pPr>
      <w:proofErr w:type="spellStart"/>
      <w:r>
        <w:rPr>
          <w:rFonts w:hint="cs"/>
          <w:rtl/>
          <w:lang w:eastAsia="he-IL"/>
        </w:rPr>
        <w:lastRenderedPageBreak/>
        <w:t>ב</w:t>
      </w:r>
      <w:r>
        <w:rPr>
          <w:rtl/>
          <w:lang w:eastAsia="he-IL"/>
        </w:rPr>
        <w:t>ר"ן</w:t>
      </w:r>
      <w:proofErr w:type="spellEnd"/>
      <w:r>
        <w:rPr>
          <w:rtl/>
          <w:lang w:eastAsia="he-IL"/>
        </w:rPr>
        <w:t xml:space="preserve"> </w:t>
      </w:r>
      <w:r>
        <w:rPr>
          <w:rFonts w:hint="cs"/>
          <w:rtl/>
          <w:lang w:eastAsia="he-IL"/>
        </w:rPr>
        <w:t xml:space="preserve">בקידושין תחילת פרק האומר, בדין מקדש אישה ויחולו הקידושין לאחר 30 יום, כתב לגבי כסף הקידושין - </w:t>
      </w:r>
    </w:p>
    <w:p w14:paraId="63836716" w14:textId="77777777" w:rsidR="00BA19D6" w:rsidRPr="00C13963" w:rsidRDefault="00BA19D6" w:rsidP="00BA19D6">
      <w:pPr>
        <w:pStyle w:val="aa"/>
        <w:rPr>
          <w:rtl/>
          <w:lang w:eastAsia="he-IL"/>
        </w:rPr>
      </w:pPr>
      <w:r>
        <w:rPr>
          <w:rFonts w:hint="cs"/>
          <w:rtl/>
          <w:lang w:eastAsia="he-IL"/>
        </w:rPr>
        <w:t>"</w:t>
      </w:r>
      <w:r w:rsidRPr="00C13963">
        <w:rPr>
          <w:rtl/>
          <w:lang w:eastAsia="he-IL"/>
        </w:rPr>
        <w:t xml:space="preserve">אם תחזור בה תהא חייבת להחזיר המעות </w:t>
      </w:r>
      <w:proofErr w:type="spellStart"/>
      <w:r w:rsidRPr="00C13963">
        <w:rPr>
          <w:rtl/>
          <w:lang w:eastAsia="he-IL"/>
        </w:rPr>
        <w:t>דמ"מ</w:t>
      </w:r>
      <w:proofErr w:type="spellEnd"/>
      <w:r w:rsidRPr="00C13963">
        <w:rPr>
          <w:rtl/>
          <w:lang w:eastAsia="he-IL"/>
        </w:rPr>
        <w:t xml:space="preserve"> הדבר ברשותה</w:t>
      </w:r>
      <w:r w:rsidRPr="00C13963">
        <w:rPr>
          <w:rFonts w:hint="cs"/>
          <w:rtl/>
          <w:lang w:eastAsia="he-IL"/>
        </w:rPr>
        <w:t>.</w:t>
      </w:r>
      <w:r w:rsidRPr="00C13963">
        <w:rPr>
          <w:rtl/>
          <w:lang w:eastAsia="he-IL"/>
        </w:rPr>
        <w:t xml:space="preserve"> ומיהו משמע שאם הוא חוזר בו אינה חייבת להחזיר</w:t>
      </w:r>
      <w:r w:rsidRPr="00C13963">
        <w:rPr>
          <w:rFonts w:hint="cs"/>
          <w:rtl/>
          <w:lang w:eastAsia="he-IL"/>
        </w:rPr>
        <w:t xml:space="preserve">. </w:t>
      </w:r>
      <w:r w:rsidRPr="00C13963">
        <w:rPr>
          <w:rtl/>
          <w:lang w:eastAsia="he-IL"/>
        </w:rPr>
        <w:t xml:space="preserve">דאם לא במאי </w:t>
      </w:r>
      <w:proofErr w:type="spellStart"/>
      <w:r w:rsidRPr="00C13963">
        <w:rPr>
          <w:rtl/>
          <w:lang w:eastAsia="he-IL"/>
        </w:rPr>
        <w:t>מיקדשה</w:t>
      </w:r>
      <w:proofErr w:type="spellEnd"/>
      <w:r w:rsidRPr="00C13963">
        <w:rPr>
          <w:rtl/>
          <w:lang w:eastAsia="he-IL"/>
        </w:rPr>
        <w:t xml:space="preserve"> הרי אינם קנויים לה עד סוף ל' והרי </w:t>
      </w:r>
      <w:proofErr w:type="spellStart"/>
      <w:r w:rsidRPr="00C13963">
        <w:rPr>
          <w:rtl/>
          <w:lang w:eastAsia="he-IL"/>
        </w:rPr>
        <w:t>נתאכלו</w:t>
      </w:r>
      <w:proofErr w:type="spellEnd"/>
      <w:r w:rsidRPr="00C13963">
        <w:rPr>
          <w:rtl/>
          <w:lang w:eastAsia="he-IL"/>
        </w:rPr>
        <w:t xml:space="preserve"> בינתיים אלא </w:t>
      </w:r>
      <w:proofErr w:type="spellStart"/>
      <w:r w:rsidRPr="00C13963">
        <w:rPr>
          <w:rtl/>
          <w:lang w:eastAsia="he-IL"/>
        </w:rPr>
        <w:t>כדאמרן</w:t>
      </w:r>
      <w:proofErr w:type="spellEnd"/>
      <w:r>
        <w:rPr>
          <w:rFonts w:hint="cs"/>
          <w:rtl/>
          <w:lang w:eastAsia="he-IL"/>
        </w:rPr>
        <w:t>,</w:t>
      </w:r>
      <w:r w:rsidRPr="00C13963">
        <w:rPr>
          <w:rtl/>
          <w:lang w:eastAsia="he-IL"/>
        </w:rPr>
        <w:t xml:space="preserve"> זה נראה לי</w:t>
      </w:r>
      <w:r w:rsidRPr="00C13963">
        <w:rPr>
          <w:rFonts w:hint="cs"/>
          <w:rtl/>
          <w:lang w:eastAsia="he-IL"/>
        </w:rPr>
        <w:t>.</w:t>
      </w:r>
      <w:r>
        <w:rPr>
          <w:rFonts w:hint="cs"/>
          <w:rtl/>
          <w:lang w:eastAsia="he-IL"/>
        </w:rPr>
        <w:t>"</w:t>
      </w:r>
    </w:p>
    <w:p w14:paraId="4316A044" w14:textId="77777777" w:rsidR="00BA19D6" w:rsidRDefault="00BA19D6" w:rsidP="00BA19D6">
      <w:pPr>
        <w:snapToGrid w:val="0"/>
        <w:spacing w:after="120" w:line="276" w:lineRule="auto"/>
        <w:ind w:firstLine="397"/>
        <w:rPr>
          <w:rtl/>
          <w:lang w:eastAsia="he-IL"/>
        </w:rPr>
      </w:pPr>
      <w:r>
        <w:rPr>
          <w:rFonts w:hint="cs"/>
          <w:rtl/>
          <w:lang w:eastAsia="he-IL"/>
        </w:rPr>
        <w:t xml:space="preserve">הרי שכתב שכל שהיא מוכנה לקיים את הדבר שסוכם, והוא החוזר, קנתה לגמרי את כסף הקידושין, למרות שאין קידושין. ובב"ש סימן מ' כתב שהראש חולק על </w:t>
      </w:r>
      <w:proofErr w:type="spellStart"/>
      <w:r>
        <w:rPr>
          <w:rFonts w:hint="cs"/>
          <w:rtl/>
          <w:lang w:eastAsia="he-IL"/>
        </w:rPr>
        <w:t>הר"ן</w:t>
      </w:r>
      <w:proofErr w:type="spellEnd"/>
      <w:r>
        <w:rPr>
          <w:rFonts w:hint="cs"/>
          <w:rtl/>
          <w:lang w:eastAsia="he-IL"/>
        </w:rPr>
        <w:t xml:space="preserve"> : </w:t>
      </w:r>
    </w:p>
    <w:p w14:paraId="560F3269" w14:textId="77777777" w:rsidR="00BA19D6" w:rsidRDefault="00BA19D6" w:rsidP="00BA19D6">
      <w:pPr>
        <w:pStyle w:val="aa"/>
        <w:rPr>
          <w:rtl/>
          <w:lang w:eastAsia="he-IL"/>
        </w:rPr>
      </w:pPr>
      <w:r>
        <w:rPr>
          <w:rFonts w:hint="cs"/>
          <w:rtl/>
          <w:lang w:eastAsia="he-IL"/>
        </w:rPr>
        <w:t>"</w:t>
      </w:r>
      <w:r>
        <w:rPr>
          <w:rtl/>
          <w:lang w:eastAsia="he-IL"/>
        </w:rPr>
        <w:t xml:space="preserve">ואם חזר. </w:t>
      </w:r>
      <w:r w:rsidRPr="00C13963">
        <w:rPr>
          <w:rtl/>
          <w:lang w:eastAsia="he-IL"/>
        </w:rPr>
        <w:t xml:space="preserve">כתב </w:t>
      </w:r>
      <w:proofErr w:type="spellStart"/>
      <w:r w:rsidRPr="00C13963">
        <w:rPr>
          <w:rtl/>
          <w:lang w:eastAsia="he-IL"/>
        </w:rPr>
        <w:t>הר"ן</w:t>
      </w:r>
      <w:proofErr w:type="spellEnd"/>
      <w:r w:rsidRPr="00C13963">
        <w:rPr>
          <w:rtl/>
          <w:lang w:eastAsia="he-IL"/>
        </w:rPr>
        <w:t xml:space="preserve"> דאין צריך להחזיר </w:t>
      </w:r>
      <w:proofErr w:type="spellStart"/>
      <w:r w:rsidRPr="00C13963">
        <w:rPr>
          <w:rtl/>
          <w:lang w:eastAsia="he-IL"/>
        </w:rPr>
        <w:t>הקדושין</w:t>
      </w:r>
      <w:proofErr w:type="spellEnd"/>
      <w:r w:rsidRPr="00C13963">
        <w:rPr>
          <w:rtl/>
          <w:lang w:eastAsia="he-IL"/>
        </w:rPr>
        <w:t xml:space="preserve"> אם הוא חזר</w:t>
      </w:r>
      <w:r>
        <w:rPr>
          <w:rtl/>
          <w:lang w:eastAsia="he-IL"/>
        </w:rPr>
        <w:t xml:space="preserve"> </w:t>
      </w:r>
      <w:r>
        <w:rPr>
          <w:rFonts w:hint="cs"/>
          <w:rtl/>
          <w:lang w:eastAsia="he-IL"/>
        </w:rPr>
        <w:t>...</w:t>
      </w:r>
      <w:r>
        <w:rPr>
          <w:rtl/>
          <w:lang w:eastAsia="he-IL"/>
        </w:rPr>
        <w:t xml:space="preserve"> </w:t>
      </w:r>
      <w:r w:rsidRPr="00C13963">
        <w:rPr>
          <w:rtl/>
          <w:lang w:eastAsia="he-IL"/>
        </w:rPr>
        <w:t xml:space="preserve">ובתשובת </w:t>
      </w:r>
      <w:proofErr w:type="spellStart"/>
      <w:r w:rsidRPr="00C13963">
        <w:rPr>
          <w:rtl/>
          <w:lang w:eastAsia="he-IL"/>
        </w:rPr>
        <w:t>הרא"ש</w:t>
      </w:r>
      <w:proofErr w:type="spellEnd"/>
      <w:r w:rsidRPr="00C13963">
        <w:rPr>
          <w:rtl/>
          <w:lang w:eastAsia="he-IL"/>
        </w:rPr>
        <w:t xml:space="preserve"> משמע </w:t>
      </w:r>
      <w:proofErr w:type="spellStart"/>
      <w:r w:rsidRPr="00C13963">
        <w:rPr>
          <w:rtl/>
          <w:lang w:eastAsia="he-IL"/>
        </w:rPr>
        <w:t>דהיא</w:t>
      </w:r>
      <w:proofErr w:type="spellEnd"/>
      <w:r w:rsidRPr="00C13963">
        <w:rPr>
          <w:rtl/>
          <w:lang w:eastAsia="he-IL"/>
        </w:rPr>
        <w:t xml:space="preserve"> צריכה להחזיר </w:t>
      </w:r>
      <w:r>
        <w:rPr>
          <w:rtl/>
          <w:lang w:eastAsia="he-IL"/>
        </w:rPr>
        <w:t xml:space="preserve">אפילו אם הוא חוזר </w:t>
      </w:r>
      <w:r>
        <w:rPr>
          <w:rFonts w:hint="cs"/>
          <w:rtl/>
          <w:lang w:eastAsia="he-IL"/>
        </w:rPr>
        <w:t>...</w:t>
      </w:r>
      <w:r>
        <w:rPr>
          <w:rtl/>
          <w:lang w:eastAsia="he-IL"/>
        </w:rPr>
        <w:t xml:space="preserve">וכן כתבו </w:t>
      </w:r>
      <w:proofErr w:type="spellStart"/>
      <w:r>
        <w:rPr>
          <w:rtl/>
          <w:lang w:eastAsia="he-IL"/>
        </w:rPr>
        <w:t>בחדושי</w:t>
      </w:r>
      <w:proofErr w:type="spellEnd"/>
      <w:r>
        <w:rPr>
          <w:rtl/>
          <w:lang w:eastAsia="he-IL"/>
        </w:rPr>
        <w:t xml:space="preserve"> </w:t>
      </w:r>
      <w:proofErr w:type="spellStart"/>
      <w:r>
        <w:rPr>
          <w:rtl/>
          <w:lang w:eastAsia="he-IL"/>
        </w:rPr>
        <w:t>מהרי"ט</w:t>
      </w:r>
      <w:proofErr w:type="spellEnd"/>
      <w:r>
        <w:rPr>
          <w:rFonts w:hint="cs"/>
          <w:rtl/>
          <w:lang w:eastAsia="he-IL"/>
        </w:rPr>
        <w:t>."</w:t>
      </w:r>
    </w:p>
    <w:p w14:paraId="200DBA97" w14:textId="77777777" w:rsidR="00BA19D6" w:rsidRDefault="00BA19D6" w:rsidP="00BA19D6">
      <w:pPr>
        <w:pStyle w:val="af"/>
        <w:numPr>
          <w:ilvl w:val="0"/>
          <w:numId w:val="33"/>
        </w:numPr>
        <w:rPr>
          <w:rtl/>
          <w:lang w:eastAsia="he-IL"/>
        </w:rPr>
      </w:pPr>
      <w:r>
        <w:rPr>
          <w:rFonts w:hint="cs"/>
          <w:rtl/>
          <w:lang w:eastAsia="he-IL"/>
        </w:rPr>
        <w:t>במשנה מסכת</w:t>
      </w:r>
      <w:r>
        <w:rPr>
          <w:rtl/>
          <w:lang w:eastAsia="he-IL"/>
        </w:rPr>
        <w:t xml:space="preserve"> בכורות דף מט עמוד א</w:t>
      </w:r>
      <w:r>
        <w:rPr>
          <w:rFonts w:hint="cs"/>
          <w:rtl/>
          <w:lang w:eastAsia="he-IL"/>
        </w:rPr>
        <w:t xml:space="preserve"> - </w:t>
      </w:r>
    </w:p>
    <w:p w14:paraId="49BC0188" w14:textId="77777777" w:rsidR="00BA19D6" w:rsidRPr="00C13963" w:rsidRDefault="00BA19D6" w:rsidP="00BA19D6">
      <w:pPr>
        <w:pStyle w:val="aa"/>
        <w:rPr>
          <w:rtl/>
          <w:lang w:eastAsia="he-IL"/>
        </w:rPr>
      </w:pPr>
      <w:r w:rsidRPr="00C13963">
        <w:rPr>
          <w:rFonts w:hint="cs"/>
          <w:rtl/>
          <w:lang w:eastAsia="he-IL"/>
        </w:rPr>
        <w:t>"</w:t>
      </w:r>
      <w:r w:rsidRPr="00C13963">
        <w:rPr>
          <w:rtl/>
          <w:lang w:eastAsia="he-IL"/>
        </w:rPr>
        <w:t xml:space="preserve">מתני'. מת הבן בתוך שלשים יום - אף על פי שנתן לכהן יחזיר, לאחר ל' יום - אף על פי שלא נתן </w:t>
      </w:r>
      <w:proofErr w:type="spellStart"/>
      <w:r w:rsidRPr="00C13963">
        <w:rPr>
          <w:rtl/>
          <w:lang w:eastAsia="he-IL"/>
        </w:rPr>
        <w:t>יתן</w:t>
      </w:r>
      <w:proofErr w:type="spellEnd"/>
      <w:r w:rsidRPr="00C13963">
        <w:rPr>
          <w:rtl/>
          <w:lang w:eastAsia="he-IL"/>
        </w:rPr>
        <w:t>.</w:t>
      </w:r>
      <w:r w:rsidRPr="00C13963">
        <w:rPr>
          <w:rFonts w:hint="cs"/>
          <w:rtl/>
          <w:lang w:eastAsia="he-IL"/>
        </w:rPr>
        <w:t>"</w:t>
      </w:r>
    </w:p>
    <w:p w14:paraId="4C938D9B" w14:textId="77777777" w:rsidR="00BA19D6" w:rsidRDefault="00BA19D6" w:rsidP="00BA19D6">
      <w:pPr>
        <w:snapToGrid w:val="0"/>
        <w:spacing w:after="120" w:line="276" w:lineRule="auto"/>
        <w:ind w:firstLine="397"/>
        <w:rPr>
          <w:rtl/>
          <w:lang w:eastAsia="he-IL"/>
        </w:rPr>
      </w:pPr>
      <w:r>
        <w:rPr>
          <w:rFonts w:hint="cs"/>
          <w:rtl/>
          <w:lang w:eastAsia="he-IL"/>
        </w:rPr>
        <w:t xml:space="preserve">לכאורה משמע שקיימת תלות בין הנתינה לבין המעשה עבורו הייתה הנתינה. וכל שבטל המעשה, בטלה הנתינה. ואע"פ שרש"י פירש </w:t>
      </w:r>
      <w:r>
        <w:rPr>
          <w:rtl/>
          <w:lang w:eastAsia="he-IL"/>
        </w:rPr>
        <w:t>–</w:t>
      </w:r>
      <w:r>
        <w:rPr>
          <w:rFonts w:hint="cs"/>
          <w:rtl/>
          <w:lang w:eastAsia="he-IL"/>
        </w:rPr>
        <w:t xml:space="preserve"> "</w:t>
      </w:r>
      <w:r w:rsidRPr="00C13963">
        <w:rPr>
          <w:rtl/>
          <w:lang w:eastAsia="he-IL"/>
        </w:rPr>
        <w:t xml:space="preserve">יחזיר - </w:t>
      </w:r>
      <w:proofErr w:type="spellStart"/>
      <w:r w:rsidRPr="00C13963">
        <w:rPr>
          <w:rtl/>
          <w:lang w:eastAsia="he-IL"/>
        </w:rPr>
        <w:t>דנפל</w:t>
      </w:r>
      <w:proofErr w:type="spellEnd"/>
      <w:r w:rsidRPr="00C13963">
        <w:rPr>
          <w:rtl/>
          <w:lang w:eastAsia="he-IL"/>
        </w:rPr>
        <w:t xml:space="preserve"> </w:t>
      </w:r>
      <w:proofErr w:type="spellStart"/>
      <w:r w:rsidRPr="00C13963">
        <w:rPr>
          <w:rtl/>
          <w:lang w:eastAsia="he-IL"/>
        </w:rPr>
        <w:t>הוה</w:t>
      </w:r>
      <w:proofErr w:type="spellEnd"/>
      <w:r w:rsidRPr="00C13963">
        <w:rPr>
          <w:rtl/>
          <w:lang w:eastAsia="he-IL"/>
        </w:rPr>
        <w:t xml:space="preserve"> ולא </w:t>
      </w:r>
      <w:proofErr w:type="spellStart"/>
      <w:r w:rsidRPr="00C13963">
        <w:rPr>
          <w:rtl/>
          <w:lang w:eastAsia="he-IL"/>
        </w:rPr>
        <w:t>מיחייב</w:t>
      </w:r>
      <w:proofErr w:type="spellEnd"/>
      <w:r w:rsidRPr="00C13963">
        <w:rPr>
          <w:rtl/>
          <w:lang w:eastAsia="he-IL"/>
        </w:rPr>
        <w:t xml:space="preserve"> בפדיון עד לאחר שלשים</w:t>
      </w:r>
      <w:r w:rsidRPr="00C13963">
        <w:rPr>
          <w:rFonts w:hint="cs"/>
          <w:rtl/>
          <w:lang w:eastAsia="he-IL"/>
        </w:rPr>
        <w:t xml:space="preserve">". </w:t>
      </w:r>
      <w:r>
        <w:rPr>
          <w:rFonts w:hint="cs"/>
          <w:rtl/>
          <w:lang w:eastAsia="he-IL"/>
        </w:rPr>
        <w:t xml:space="preserve">כלומר </w:t>
      </w:r>
      <w:proofErr w:type="spellStart"/>
      <w:r>
        <w:rPr>
          <w:rFonts w:hint="cs"/>
          <w:rtl/>
          <w:lang w:eastAsia="he-IL"/>
        </w:rPr>
        <w:t>איגלאי</w:t>
      </w:r>
      <w:proofErr w:type="spellEnd"/>
      <w:r>
        <w:rPr>
          <w:rFonts w:hint="cs"/>
          <w:rtl/>
          <w:lang w:eastAsia="he-IL"/>
        </w:rPr>
        <w:t xml:space="preserve"> מילתא שאין כלל סיבת חיוב, מ"מ גם בחוזר בו מקידושי האישה בטלה סיבת הנתינה.  ועיין </w:t>
      </w:r>
      <w:r>
        <w:rPr>
          <w:rtl/>
          <w:lang w:eastAsia="he-IL"/>
        </w:rPr>
        <w:t>אבני מילואים סימן מ</w:t>
      </w:r>
      <w:r>
        <w:rPr>
          <w:rFonts w:hint="cs"/>
          <w:rtl/>
          <w:lang w:eastAsia="he-IL"/>
        </w:rPr>
        <w:t>'</w:t>
      </w:r>
      <w:r>
        <w:rPr>
          <w:rtl/>
          <w:lang w:eastAsia="he-IL"/>
        </w:rPr>
        <w:t xml:space="preserve"> </w:t>
      </w:r>
      <w:proofErr w:type="spellStart"/>
      <w:r>
        <w:rPr>
          <w:rtl/>
          <w:lang w:eastAsia="he-IL"/>
        </w:rPr>
        <w:t>ס"ק</w:t>
      </w:r>
      <w:proofErr w:type="spellEnd"/>
      <w:r>
        <w:rPr>
          <w:rtl/>
          <w:lang w:eastAsia="he-IL"/>
        </w:rPr>
        <w:t xml:space="preserve"> א</w:t>
      </w:r>
      <w:r>
        <w:rPr>
          <w:rFonts w:hint="cs"/>
          <w:rtl/>
          <w:lang w:eastAsia="he-IL"/>
        </w:rPr>
        <w:t xml:space="preserve">' שהוכיח מדין זה כדעת </w:t>
      </w:r>
      <w:proofErr w:type="spellStart"/>
      <w:r>
        <w:rPr>
          <w:rFonts w:hint="cs"/>
          <w:rtl/>
          <w:lang w:eastAsia="he-IL"/>
        </w:rPr>
        <w:t>הר"ן</w:t>
      </w:r>
      <w:proofErr w:type="spellEnd"/>
      <w:r>
        <w:rPr>
          <w:rFonts w:hint="cs"/>
          <w:rtl/>
          <w:lang w:eastAsia="he-IL"/>
        </w:rPr>
        <w:t xml:space="preserve"> בקידושין. וז"ל שם - </w:t>
      </w:r>
    </w:p>
    <w:p w14:paraId="53AC4CEC" w14:textId="77777777" w:rsidR="00BA19D6" w:rsidRPr="00C13963" w:rsidRDefault="00BA19D6" w:rsidP="00BA19D6">
      <w:pPr>
        <w:pStyle w:val="aa"/>
        <w:rPr>
          <w:lang w:eastAsia="he-IL"/>
        </w:rPr>
      </w:pPr>
      <w:r>
        <w:rPr>
          <w:rFonts w:hint="cs"/>
          <w:rtl/>
          <w:lang w:eastAsia="he-IL"/>
        </w:rPr>
        <w:t>"</w:t>
      </w:r>
      <w:r w:rsidRPr="00C13963">
        <w:rPr>
          <w:rtl/>
          <w:lang w:eastAsia="he-IL"/>
        </w:rPr>
        <w:t xml:space="preserve">נראה עיקר כדברי </w:t>
      </w:r>
      <w:proofErr w:type="spellStart"/>
      <w:r w:rsidRPr="00C13963">
        <w:rPr>
          <w:rtl/>
          <w:lang w:eastAsia="he-IL"/>
        </w:rPr>
        <w:t>הר"ן</w:t>
      </w:r>
      <w:proofErr w:type="spellEnd"/>
      <w:r>
        <w:rPr>
          <w:rFonts w:hint="cs"/>
          <w:rtl/>
          <w:lang w:eastAsia="he-IL"/>
        </w:rPr>
        <w:t>,</w:t>
      </w:r>
      <w:r w:rsidRPr="00C13963">
        <w:rPr>
          <w:rtl/>
          <w:lang w:eastAsia="he-IL"/>
        </w:rPr>
        <w:t xml:space="preserve"> וכן משמע מהא </w:t>
      </w:r>
      <w:proofErr w:type="spellStart"/>
      <w:r w:rsidRPr="00C13963">
        <w:rPr>
          <w:rtl/>
          <w:lang w:eastAsia="he-IL"/>
        </w:rPr>
        <w:t>דתנן</w:t>
      </w:r>
      <w:proofErr w:type="spellEnd"/>
      <w:r w:rsidRPr="00C13963">
        <w:rPr>
          <w:rtl/>
          <w:lang w:eastAsia="he-IL"/>
        </w:rPr>
        <w:t xml:space="preserve"> פ' יש בכור </w:t>
      </w:r>
      <w:r w:rsidRPr="00BA19D6">
        <w:rPr>
          <w:szCs w:val="24"/>
          <w:rtl/>
          <w:lang w:eastAsia="he-IL"/>
        </w:rPr>
        <w:t>(דף מ"ט)</w:t>
      </w:r>
      <w:r w:rsidRPr="00C13963">
        <w:rPr>
          <w:rtl/>
          <w:lang w:eastAsia="he-IL"/>
        </w:rPr>
        <w:t xml:space="preserve"> מת הבן תוך שלשים יום אעפ"י שנתן לכהן יחזיר ע"ש</w:t>
      </w:r>
      <w:r>
        <w:rPr>
          <w:rFonts w:hint="cs"/>
          <w:rtl/>
          <w:lang w:eastAsia="he-IL"/>
        </w:rPr>
        <w:t>,</w:t>
      </w:r>
      <w:r w:rsidRPr="00C13963">
        <w:rPr>
          <w:rtl/>
          <w:lang w:eastAsia="he-IL"/>
        </w:rPr>
        <w:t xml:space="preserve"> ומשמע דאם הוא חי אין הבעלים יכולים לחזור וליטול הכסף מיד הכהן ולאחר שלשים יפדו אצל כהן אחר</w:t>
      </w:r>
      <w:r>
        <w:rPr>
          <w:rFonts w:hint="cs"/>
          <w:rtl/>
          <w:lang w:eastAsia="he-IL"/>
        </w:rPr>
        <w:t>,</w:t>
      </w:r>
      <w:r w:rsidRPr="00C13963">
        <w:rPr>
          <w:rtl/>
          <w:lang w:eastAsia="he-IL"/>
        </w:rPr>
        <w:t xml:space="preserve"> אלא משמע </w:t>
      </w:r>
      <w:proofErr w:type="spellStart"/>
      <w:r w:rsidRPr="00C13963">
        <w:rPr>
          <w:rtl/>
          <w:lang w:eastAsia="he-IL"/>
        </w:rPr>
        <w:t>דכל</w:t>
      </w:r>
      <w:proofErr w:type="spellEnd"/>
      <w:r w:rsidRPr="00C13963">
        <w:rPr>
          <w:rtl/>
          <w:lang w:eastAsia="he-IL"/>
        </w:rPr>
        <w:t xml:space="preserve"> </w:t>
      </w:r>
      <w:proofErr w:type="spellStart"/>
      <w:r w:rsidRPr="00C13963">
        <w:rPr>
          <w:rtl/>
          <w:lang w:eastAsia="he-IL"/>
        </w:rPr>
        <w:t>דיהיב</w:t>
      </w:r>
      <w:proofErr w:type="spellEnd"/>
      <w:r w:rsidRPr="00C13963">
        <w:rPr>
          <w:rtl/>
          <w:lang w:eastAsia="he-IL"/>
        </w:rPr>
        <w:t xml:space="preserve"> </w:t>
      </w:r>
      <w:proofErr w:type="spellStart"/>
      <w:r w:rsidRPr="00C13963">
        <w:rPr>
          <w:rtl/>
          <w:lang w:eastAsia="he-IL"/>
        </w:rPr>
        <w:t>אדעתא</w:t>
      </w:r>
      <w:proofErr w:type="spellEnd"/>
      <w:r w:rsidRPr="00C13963">
        <w:rPr>
          <w:rtl/>
          <w:lang w:eastAsia="he-IL"/>
        </w:rPr>
        <w:t xml:space="preserve"> </w:t>
      </w:r>
      <w:proofErr w:type="spellStart"/>
      <w:r w:rsidRPr="00C13963">
        <w:rPr>
          <w:rtl/>
          <w:lang w:eastAsia="he-IL"/>
        </w:rPr>
        <w:t>דהכי</w:t>
      </w:r>
      <w:proofErr w:type="spellEnd"/>
      <w:r w:rsidRPr="00C13963">
        <w:rPr>
          <w:rtl/>
          <w:lang w:eastAsia="he-IL"/>
        </w:rPr>
        <w:t xml:space="preserve"> </w:t>
      </w:r>
      <w:proofErr w:type="spellStart"/>
      <w:r w:rsidRPr="00C13963">
        <w:rPr>
          <w:rtl/>
          <w:lang w:eastAsia="he-IL"/>
        </w:rPr>
        <w:t>ליתי</w:t>
      </w:r>
      <w:proofErr w:type="spellEnd"/>
      <w:r w:rsidRPr="00C13963">
        <w:rPr>
          <w:rtl/>
          <w:lang w:eastAsia="he-IL"/>
        </w:rPr>
        <w:t>' בחזרה.</w:t>
      </w:r>
      <w:r>
        <w:rPr>
          <w:rFonts w:hint="cs"/>
          <w:rtl/>
          <w:lang w:eastAsia="he-IL"/>
        </w:rPr>
        <w:t>"</w:t>
      </w:r>
    </w:p>
    <w:p w14:paraId="140FDCDE" w14:textId="77777777" w:rsidR="00BA19D6" w:rsidRDefault="00BA19D6" w:rsidP="00BA19D6">
      <w:pPr>
        <w:snapToGrid w:val="0"/>
        <w:spacing w:after="120" w:line="276" w:lineRule="auto"/>
        <w:ind w:firstLine="397"/>
        <w:rPr>
          <w:lang w:eastAsia="he-IL"/>
        </w:rPr>
      </w:pPr>
      <w:r>
        <w:rPr>
          <w:rFonts w:hint="cs"/>
          <w:rtl/>
          <w:lang w:eastAsia="he-IL"/>
        </w:rPr>
        <w:t xml:space="preserve">לכאורה משמע מדבריו שחזרת הנותן אינה מבטלת את הנתינה. לפי זה בנידון דידן לא תועיל חזרתו לבטל את הנתינה. אולם עיין לקמן שאין הדבר כך, משום שהני מילי שהמקבל קיים ואומר לקיים את ההסכמה עבורה </w:t>
      </w:r>
      <w:proofErr w:type="spellStart"/>
      <w:r>
        <w:rPr>
          <w:rFonts w:hint="cs"/>
          <w:rtl/>
          <w:lang w:eastAsia="he-IL"/>
        </w:rPr>
        <w:t>היתה</w:t>
      </w:r>
      <w:proofErr w:type="spellEnd"/>
      <w:r>
        <w:rPr>
          <w:rFonts w:hint="cs"/>
          <w:rtl/>
          <w:lang w:eastAsia="he-IL"/>
        </w:rPr>
        <w:t xml:space="preserve"> הנתינה. </w:t>
      </w:r>
    </w:p>
    <w:p w14:paraId="3F98F00A" w14:textId="77777777" w:rsidR="00BA19D6" w:rsidRPr="00B15B37" w:rsidRDefault="00BA19D6" w:rsidP="00BA19D6">
      <w:pPr>
        <w:pStyle w:val="af"/>
        <w:numPr>
          <w:ilvl w:val="0"/>
          <w:numId w:val="33"/>
        </w:numPr>
        <w:rPr>
          <w:rtl/>
          <w:lang w:eastAsia="he-IL"/>
        </w:rPr>
      </w:pPr>
      <w:r>
        <w:rPr>
          <w:rFonts w:hint="cs"/>
          <w:rtl/>
          <w:lang w:eastAsia="he-IL"/>
        </w:rPr>
        <w:t>ב</w:t>
      </w:r>
      <w:r w:rsidRPr="00E8729C">
        <w:rPr>
          <w:rtl/>
          <w:lang w:eastAsia="he-IL"/>
        </w:rPr>
        <w:t xml:space="preserve">מסכת בבא </w:t>
      </w:r>
      <w:proofErr w:type="spellStart"/>
      <w:r w:rsidRPr="00E8729C">
        <w:rPr>
          <w:rtl/>
          <w:lang w:eastAsia="he-IL"/>
        </w:rPr>
        <w:t>בתרא</w:t>
      </w:r>
      <w:proofErr w:type="spellEnd"/>
      <w:r w:rsidRPr="00E8729C">
        <w:rPr>
          <w:rtl/>
          <w:lang w:eastAsia="he-IL"/>
        </w:rPr>
        <w:t xml:space="preserve"> דף </w:t>
      </w:r>
      <w:proofErr w:type="spellStart"/>
      <w:r w:rsidRPr="00E8729C">
        <w:rPr>
          <w:rtl/>
          <w:lang w:eastAsia="he-IL"/>
        </w:rPr>
        <w:t>קמד</w:t>
      </w:r>
      <w:proofErr w:type="spellEnd"/>
      <w:r>
        <w:rPr>
          <w:rFonts w:hint="cs"/>
          <w:rtl/>
          <w:lang w:eastAsia="he-IL"/>
        </w:rPr>
        <w:t xml:space="preserve"> ב </w:t>
      </w:r>
      <w:r>
        <w:rPr>
          <w:rtl/>
          <w:lang w:eastAsia="he-IL"/>
        </w:rPr>
        <w:t>–</w:t>
      </w:r>
      <w:r>
        <w:rPr>
          <w:rFonts w:hint="cs"/>
          <w:rtl/>
          <w:lang w:eastAsia="he-IL"/>
        </w:rPr>
        <w:t xml:space="preserve"> </w:t>
      </w:r>
    </w:p>
    <w:p w14:paraId="693D7CBB" w14:textId="77777777" w:rsidR="00BA19D6" w:rsidRPr="00C13963" w:rsidRDefault="00BA19D6" w:rsidP="00BA19D6">
      <w:pPr>
        <w:pStyle w:val="aa"/>
        <w:rPr>
          <w:rtl/>
          <w:lang w:eastAsia="he-IL"/>
        </w:rPr>
      </w:pPr>
      <w:r w:rsidRPr="00C13963">
        <w:rPr>
          <w:rFonts w:hint="cs"/>
          <w:rtl/>
          <w:lang w:eastAsia="he-IL"/>
        </w:rPr>
        <w:t>"</w:t>
      </w:r>
      <w:r w:rsidRPr="00C13963">
        <w:rPr>
          <w:rtl/>
          <w:lang w:eastAsia="he-IL"/>
        </w:rPr>
        <w:t xml:space="preserve">תניא: מקום שנהגו להחזיר </w:t>
      </w:r>
      <w:proofErr w:type="spellStart"/>
      <w:r w:rsidRPr="00C13963">
        <w:rPr>
          <w:rtl/>
          <w:lang w:eastAsia="he-IL"/>
        </w:rPr>
        <w:t>קדושין</w:t>
      </w:r>
      <w:proofErr w:type="spellEnd"/>
      <w:r w:rsidRPr="00C13963">
        <w:rPr>
          <w:rtl/>
          <w:lang w:eastAsia="he-IL"/>
        </w:rPr>
        <w:t xml:space="preserve"> - </w:t>
      </w:r>
      <w:proofErr w:type="spellStart"/>
      <w:r w:rsidRPr="00C13963">
        <w:rPr>
          <w:rtl/>
          <w:lang w:eastAsia="he-IL"/>
        </w:rPr>
        <w:t>מחזירין</w:t>
      </w:r>
      <w:proofErr w:type="spellEnd"/>
      <w:r w:rsidRPr="00C13963">
        <w:rPr>
          <w:rtl/>
          <w:lang w:eastAsia="he-IL"/>
        </w:rPr>
        <w:t xml:space="preserve">, מקום שנהגו שלא להחזיר - אין </w:t>
      </w:r>
      <w:proofErr w:type="spellStart"/>
      <w:r w:rsidRPr="00C13963">
        <w:rPr>
          <w:rtl/>
          <w:lang w:eastAsia="he-IL"/>
        </w:rPr>
        <w:t>מחזירין</w:t>
      </w:r>
      <w:proofErr w:type="spellEnd"/>
      <w:r w:rsidRPr="00C13963">
        <w:rPr>
          <w:rtl/>
          <w:lang w:eastAsia="he-IL"/>
        </w:rPr>
        <w:t xml:space="preserve">; ואמר רב יוסף בר אבא אמר מר </w:t>
      </w:r>
      <w:proofErr w:type="spellStart"/>
      <w:r w:rsidRPr="00C13963">
        <w:rPr>
          <w:rtl/>
          <w:lang w:eastAsia="he-IL"/>
        </w:rPr>
        <w:t>עוקבא</w:t>
      </w:r>
      <w:proofErr w:type="spellEnd"/>
      <w:r w:rsidRPr="00C13963">
        <w:rPr>
          <w:rtl/>
          <w:lang w:eastAsia="he-IL"/>
        </w:rPr>
        <w:t xml:space="preserve"> אמר שמואל: לא שנו אלא שמתה היא, אבל מת הוא - אין </w:t>
      </w:r>
      <w:proofErr w:type="spellStart"/>
      <w:r w:rsidRPr="00C13963">
        <w:rPr>
          <w:rtl/>
          <w:lang w:eastAsia="he-IL"/>
        </w:rPr>
        <w:t>מחזירין</w:t>
      </w:r>
      <w:proofErr w:type="spellEnd"/>
      <w:r w:rsidRPr="00C13963">
        <w:rPr>
          <w:rtl/>
          <w:lang w:eastAsia="he-IL"/>
        </w:rPr>
        <w:t>, מ"ט? יכולה היא שתאמר</w:t>
      </w:r>
      <w:r w:rsidRPr="00C13963">
        <w:rPr>
          <w:rFonts w:hint="cs"/>
          <w:rtl/>
          <w:lang w:eastAsia="he-IL"/>
        </w:rPr>
        <w:t xml:space="preserve"> </w:t>
      </w:r>
      <w:r w:rsidRPr="00C13963">
        <w:rPr>
          <w:rtl/>
          <w:lang w:eastAsia="he-IL"/>
        </w:rPr>
        <w:t>תנו לי בעלי ואשמח עמו</w:t>
      </w:r>
      <w:r w:rsidRPr="00C13963">
        <w:rPr>
          <w:rFonts w:hint="cs"/>
          <w:rtl/>
          <w:lang w:eastAsia="he-IL"/>
        </w:rPr>
        <w:t>."</w:t>
      </w:r>
    </w:p>
    <w:p w14:paraId="76E70E9C" w14:textId="77777777" w:rsidR="00BA19D6" w:rsidRDefault="00BA19D6" w:rsidP="00BA19D6">
      <w:pPr>
        <w:snapToGrid w:val="0"/>
        <w:spacing w:after="120" w:line="276" w:lineRule="auto"/>
        <w:ind w:firstLine="397"/>
        <w:rPr>
          <w:rtl/>
          <w:lang w:eastAsia="he-IL"/>
        </w:rPr>
      </w:pPr>
      <w:r>
        <w:rPr>
          <w:rFonts w:hint="cs"/>
          <w:rtl/>
          <w:lang w:eastAsia="he-IL"/>
        </w:rPr>
        <w:t xml:space="preserve">מכאן משמע שבנתינה הדדית, ואחד הצדדים מת, יכול הצד השני לומר </w:t>
      </w:r>
      <w:r>
        <w:rPr>
          <w:rtl/>
          <w:lang w:eastAsia="he-IL"/>
        </w:rPr>
        <w:t>–</w:t>
      </w:r>
      <w:r>
        <w:rPr>
          <w:rFonts w:hint="cs"/>
          <w:rtl/>
          <w:lang w:eastAsia="he-IL"/>
        </w:rPr>
        <w:t xml:space="preserve"> אני קיים ומוכן לקיים את ההסכם. המשמעות </w:t>
      </w:r>
      <w:r>
        <w:rPr>
          <w:rtl/>
          <w:lang w:eastAsia="he-IL"/>
        </w:rPr>
        <w:t>–</w:t>
      </w:r>
      <w:r>
        <w:rPr>
          <w:rFonts w:hint="cs"/>
          <w:rtl/>
          <w:lang w:eastAsia="he-IL"/>
        </w:rPr>
        <w:t xml:space="preserve"> הנתינה בתוקף במקום שההסכם בתוקף, או יכול להיות בתוקף מצד הצד המקבל. </w:t>
      </w:r>
    </w:p>
    <w:p w14:paraId="19288078" w14:textId="77777777" w:rsidR="00BA19D6" w:rsidRDefault="00BA19D6" w:rsidP="00BA19D6">
      <w:pPr>
        <w:snapToGrid w:val="0"/>
        <w:spacing w:after="120" w:line="276" w:lineRule="auto"/>
        <w:ind w:firstLine="397"/>
        <w:rPr>
          <w:rtl/>
          <w:lang w:eastAsia="he-IL"/>
        </w:rPr>
      </w:pPr>
      <w:r>
        <w:rPr>
          <w:rFonts w:hint="cs"/>
          <w:rtl/>
          <w:lang w:eastAsia="he-IL"/>
        </w:rPr>
        <w:t xml:space="preserve">ומסקנת הגמרא שם </w:t>
      </w:r>
      <w:r>
        <w:rPr>
          <w:rtl/>
          <w:lang w:eastAsia="he-IL"/>
        </w:rPr>
        <w:t>–</w:t>
      </w:r>
      <w:r>
        <w:rPr>
          <w:rFonts w:hint="cs"/>
          <w:rtl/>
          <w:lang w:eastAsia="he-IL"/>
        </w:rPr>
        <w:t xml:space="preserve"> </w:t>
      </w:r>
    </w:p>
    <w:p w14:paraId="41D53091" w14:textId="77777777" w:rsidR="00BA19D6" w:rsidRPr="00C13963" w:rsidRDefault="00BA19D6" w:rsidP="00BA19D6">
      <w:pPr>
        <w:pStyle w:val="aa"/>
        <w:rPr>
          <w:rtl/>
          <w:lang w:eastAsia="he-IL"/>
        </w:rPr>
      </w:pPr>
      <w:r w:rsidRPr="00C13963">
        <w:rPr>
          <w:rFonts w:hint="cs"/>
          <w:rtl/>
          <w:lang w:eastAsia="he-IL"/>
        </w:rPr>
        <w:t>"</w:t>
      </w:r>
      <w:r w:rsidRPr="00C13963">
        <w:rPr>
          <w:rtl/>
          <w:lang w:eastAsia="he-IL"/>
        </w:rPr>
        <w:t xml:space="preserve">אמר רב </w:t>
      </w:r>
      <w:proofErr w:type="spellStart"/>
      <w:r w:rsidRPr="00C13963">
        <w:rPr>
          <w:rtl/>
          <w:lang w:eastAsia="he-IL"/>
        </w:rPr>
        <w:t>פפא</w:t>
      </w:r>
      <w:proofErr w:type="spellEnd"/>
      <w:r w:rsidRPr="00C13963">
        <w:rPr>
          <w:rtl/>
          <w:lang w:eastAsia="he-IL"/>
        </w:rPr>
        <w:t xml:space="preserve">, הלכתא: בין שמת הוא בין שמתה היא, והדר ביה הוא - </w:t>
      </w:r>
      <w:proofErr w:type="spellStart"/>
      <w:r w:rsidRPr="00C13963">
        <w:rPr>
          <w:rtl/>
          <w:lang w:eastAsia="he-IL"/>
        </w:rPr>
        <w:t>מוהרי</w:t>
      </w:r>
      <w:proofErr w:type="spellEnd"/>
      <w:r w:rsidRPr="00C13963">
        <w:rPr>
          <w:rtl/>
          <w:lang w:eastAsia="he-IL"/>
        </w:rPr>
        <w:t xml:space="preserve"> הדרי, קדושי לא הדרי; הדרא בה </w:t>
      </w:r>
      <w:proofErr w:type="spellStart"/>
      <w:r w:rsidRPr="00C13963">
        <w:rPr>
          <w:rtl/>
          <w:lang w:eastAsia="he-IL"/>
        </w:rPr>
        <w:t>איהי</w:t>
      </w:r>
      <w:proofErr w:type="spellEnd"/>
      <w:r w:rsidRPr="00C13963">
        <w:rPr>
          <w:rtl/>
          <w:lang w:eastAsia="he-IL"/>
        </w:rPr>
        <w:t xml:space="preserve"> - אפי' קדושי נמי הדרי</w:t>
      </w:r>
      <w:r w:rsidRPr="00C13963">
        <w:rPr>
          <w:rFonts w:hint="cs"/>
          <w:rtl/>
          <w:lang w:eastAsia="he-IL"/>
        </w:rPr>
        <w:t xml:space="preserve"> </w:t>
      </w:r>
      <w:proofErr w:type="spellStart"/>
      <w:r w:rsidRPr="00C13963">
        <w:rPr>
          <w:rtl/>
          <w:lang w:eastAsia="he-IL"/>
        </w:rPr>
        <w:t>אמימר</w:t>
      </w:r>
      <w:proofErr w:type="spellEnd"/>
      <w:r w:rsidRPr="00C13963">
        <w:rPr>
          <w:rtl/>
          <w:lang w:eastAsia="he-IL"/>
        </w:rPr>
        <w:t xml:space="preserve"> אמר: קדושי לא הדרי, גזירה שמא יאמרו </w:t>
      </w:r>
      <w:proofErr w:type="spellStart"/>
      <w:r w:rsidRPr="00C13963">
        <w:rPr>
          <w:rtl/>
          <w:lang w:eastAsia="he-IL"/>
        </w:rPr>
        <w:t>קדושין</w:t>
      </w:r>
      <w:proofErr w:type="spellEnd"/>
      <w:r w:rsidRPr="00C13963">
        <w:rPr>
          <w:rtl/>
          <w:lang w:eastAsia="he-IL"/>
        </w:rPr>
        <w:t xml:space="preserve"> </w:t>
      </w:r>
      <w:proofErr w:type="spellStart"/>
      <w:r w:rsidRPr="00C13963">
        <w:rPr>
          <w:rtl/>
          <w:lang w:eastAsia="he-IL"/>
        </w:rPr>
        <w:t>תופסין</w:t>
      </w:r>
      <w:proofErr w:type="spellEnd"/>
      <w:r w:rsidRPr="00C13963">
        <w:rPr>
          <w:rtl/>
          <w:lang w:eastAsia="he-IL"/>
        </w:rPr>
        <w:t xml:space="preserve"> באחותה</w:t>
      </w:r>
      <w:r w:rsidRPr="00C13963">
        <w:rPr>
          <w:rFonts w:hint="cs"/>
          <w:rtl/>
          <w:lang w:eastAsia="he-IL"/>
        </w:rPr>
        <w:t xml:space="preserve">." </w:t>
      </w:r>
    </w:p>
    <w:p w14:paraId="2AB514A0" w14:textId="77777777" w:rsidR="00BA19D6" w:rsidRPr="004D1AD8" w:rsidRDefault="00BA19D6" w:rsidP="00BA19D6">
      <w:pPr>
        <w:snapToGrid w:val="0"/>
        <w:spacing w:after="120" w:line="276" w:lineRule="auto"/>
        <w:ind w:firstLine="397"/>
        <w:rPr>
          <w:rtl/>
          <w:lang w:eastAsia="he-IL"/>
        </w:rPr>
      </w:pPr>
      <w:r>
        <w:rPr>
          <w:rFonts w:hint="cs"/>
          <w:rtl/>
          <w:lang w:eastAsia="he-IL"/>
        </w:rPr>
        <w:t xml:space="preserve">הרי שכסף  הקידושין </w:t>
      </w:r>
      <w:proofErr w:type="spellStart"/>
      <w:r>
        <w:rPr>
          <w:rFonts w:hint="cs"/>
          <w:rtl/>
          <w:lang w:eastAsia="he-IL"/>
        </w:rPr>
        <w:t>מדינא</w:t>
      </w:r>
      <w:proofErr w:type="spellEnd"/>
      <w:r>
        <w:rPr>
          <w:rFonts w:hint="cs"/>
          <w:rtl/>
          <w:lang w:eastAsia="he-IL"/>
        </w:rPr>
        <w:t xml:space="preserve"> צריך היה לחזור אילולי שיאמרו קידושין </w:t>
      </w:r>
      <w:proofErr w:type="spellStart"/>
      <w:r>
        <w:rPr>
          <w:rFonts w:hint="cs"/>
          <w:rtl/>
          <w:lang w:eastAsia="he-IL"/>
        </w:rPr>
        <w:t>תופסין</w:t>
      </w:r>
      <w:proofErr w:type="spellEnd"/>
      <w:r>
        <w:rPr>
          <w:rFonts w:hint="cs"/>
          <w:rtl/>
          <w:lang w:eastAsia="he-IL"/>
        </w:rPr>
        <w:t xml:space="preserve"> באחותה. </w:t>
      </w:r>
      <w:proofErr w:type="spellStart"/>
      <w:r>
        <w:rPr>
          <w:rFonts w:hint="cs"/>
          <w:rtl/>
          <w:lang w:eastAsia="he-IL"/>
        </w:rPr>
        <w:t>וכ"פ</w:t>
      </w:r>
      <w:proofErr w:type="spellEnd"/>
      <w:r>
        <w:rPr>
          <w:rFonts w:hint="cs"/>
          <w:rtl/>
          <w:lang w:eastAsia="he-IL"/>
        </w:rPr>
        <w:t xml:space="preserve"> </w:t>
      </w:r>
      <w:proofErr w:type="spellStart"/>
      <w:r>
        <w:rPr>
          <w:rFonts w:hint="cs"/>
          <w:rtl/>
          <w:lang w:eastAsia="he-IL"/>
        </w:rPr>
        <w:t>הרי"ף</w:t>
      </w:r>
      <w:proofErr w:type="spellEnd"/>
      <w:r>
        <w:rPr>
          <w:rFonts w:hint="cs"/>
          <w:rtl/>
          <w:lang w:eastAsia="he-IL"/>
        </w:rPr>
        <w:t xml:space="preserve"> והרמב"ם. </w:t>
      </w:r>
      <w:r w:rsidRPr="00BA19D6">
        <w:rPr>
          <w:rFonts w:hint="cs"/>
          <w:szCs w:val="24"/>
          <w:rtl/>
          <w:lang w:eastAsia="he-IL"/>
        </w:rPr>
        <w:t xml:space="preserve">(לעניין החילוק בין מוהר </w:t>
      </w:r>
      <w:proofErr w:type="spellStart"/>
      <w:r w:rsidRPr="00BA19D6">
        <w:rPr>
          <w:rFonts w:hint="cs"/>
          <w:szCs w:val="24"/>
          <w:rtl/>
          <w:lang w:eastAsia="he-IL"/>
        </w:rPr>
        <w:t>נדוניא</w:t>
      </w:r>
      <w:proofErr w:type="spellEnd"/>
      <w:r w:rsidRPr="00BA19D6">
        <w:rPr>
          <w:rFonts w:hint="cs"/>
          <w:szCs w:val="24"/>
          <w:rtl/>
          <w:lang w:eastAsia="he-IL"/>
        </w:rPr>
        <w:t xml:space="preserve"> לכסף קידושין, עיין שו"ת </w:t>
      </w:r>
      <w:proofErr w:type="spellStart"/>
      <w:r w:rsidRPr="00BA19D6">
        <w:rPr>
          <w:rFonts w:hint="cs"/>
          <w:szCs w:val="24"/>
          <w:rtl/>
          <w:lang w:eastAsia="he-IL"/>
        </w:rPr>
        <w:t>הרא"ש</w:t>
      </w:r>
      <w:proofErr w:type="spellEnd"/>
      <w:r w:rsidRPr="00BA19D6">
        <w:rPr>
          <w:rFonts w:hint="cs"/>
          <w:szCs w:val="24"/>
          <w:rtl/>
          <w:lang w:eastAsia="he-IL"/>
        </w:rPr>
        <w:t xml:space="preserve"> כלל ל"ה אות ח')</w:t>
      </w:r>
      <w:r>
        <w:rPr>
          <w:rFonts w:hint="cs"/>
          <w:rtl/>
          <w:lang w:eastAsia="he-IL"/>
        </w:rPr>
        <w:t>.</w:t>
      </w:r>
    </w:p>
    <w:p w14:paraId="7FE511D1" w14:textId="77777777" w:rsidR="00BA19D6" w:rsidRDefault="00BA19D6" w:rsidP="00BA19D6">
      <w:pPr>
        <w:pStyle w:val="af"/>
        <w:numPr>
          <w:ilvl w:val="0"/>
          <w:numId w:val="33"/>
        </w:numPr>
        <w:rPr>
          <w:rtl/>
          <w:lang w:eastAsia="he-IL"/>
        </w:rPr>
      </w:pPr>
      <w:proofErr w:type="spellStart"/>
      <w:r>
        <w:rPr>
          <w:rFonts w:hint="cs"/>
          <w:rtl/>
          <w:lang w:eastAsia="he-IL"/>
        </w:rPr>
        <w:lastRenderedPageBreak/>
        <w:t>ב</w:t>
      </w:r>
      <w:r>
        <w:rPr>
          <w:rtl/>
          <w:lang w:eastAsia="he-IL"/>
        </w:rPr>
        <w:t>שו"ת</w:t>
      </w:r>
      <w:proofErr w:type="spellEnd"/>
      <w:r>
        <w:rPr>
          <w:rtl/>
          <w:lang w:eastAsia="he-IL"/>
        </w:rPr>
        <w:t xml:space="preserve"> נודע ביהודה </w:t>
      </w:r>
      <w:proofErr w:type="spellStart"/>
      <w:r>
        <w:rPr>
          <w:rtl/>
          <w:lang w:eastAsia="he-IL"/>
        </w:rPr>
        <w:t>מהדורא</w:t>
      </w:r>
      <w:proofErr w:type="spellEnd"/>
      <w:r>
        <w:rPr>
          <w:rtl/>
          <w:lang w:eastAsia="he-IL"/>
        </w:rPr>
        <w:t xml:space="preserve"> </w:t>
      </w:r>
      <w:proofErr w:type="spellStart"/>
      <w:r>
        <w:rPr>
          <w:rtl/>
          <w:lang w:eastAsia="he-IL"/>
        </w:rPr>
        <w:t>תניינא</w:t>
      </w:r>
      <w:proofErr w:type="spellEnd"/>
      <w:r>
        <w:rPr>
          <w:rtl/>
          <w:lang w:eastAsia="he-IL"/>
        </w:rPr>
        <w:t xml:space="preserve"> חושן משפט סימן לב</w:t>
      </w:r>
      <w:r>
        <w:rPr>
          <w:rFonts w:hint="cs"/>
          <w:rtl/>
          <w:lang w:eastAsia="he-IL"/>
        </w:rPr>
        <w:t xml:space="preserve">, בעניין מוחלת על כתובה כפוף לסידור הגט, ונמצא אח"כ הגט פסול. כתב </w:t>
      </w:r>
      <w:r>
        <w:rPr>
          <w:rtl/>
          <w:lang w:eastAsia="he-IL"/>
        </w:rPr>
        <w:t>–</w:t>
      </w:r>
    </w:p>
    <w:p w14:paraId="11E97B03" w14:textId="77777777" w:rsidR="00BA19D6" w:rsidRPr="00C13963" w:rsidRDefault="00BA19D6" w:rsidP="00BA19D6">
      <w:pPr>
        <w:pStyle w:val="aa"/>
        <w:rPr>
          <w:rtl/>
          <w:lang w:eastAsia="he-IL"/>
        </w:rPr>
      </w:pPr>
      <w:r w:rsidRPr="00C13963">
        <w:rPr>
          <w:rFonts w:hint="cs"/>
          <w:rtl/>
          <w:lang w:eastAsia="he-IL"/>
        </w:rPr>
        <w:t>"</w:t>
      </w:r>
      <w:r w:rsidRPr="00C13963">
        <w:rPr>
          <w:rtl/>
          <w:lang w:eastAsia="he-IL"/>
        </w:rPr>
        <w:t>אך לפי מה שפסקתי שהגט פסול וצריכה גט מחדש</w:t>
      </w:r>
      <w:r w:rsidRPr="00C13963">
        <w:rPr>
          <w:rFonts w:hint="cs"/>
          <w:rtl/>
          <w:lang w:eastAsia="he-IL"/>
        </w:rPr>
        <w:t xml:space="preserve">, </w:t>
      </w:r>
      <w:r w:rsidRPr="00C13963">
        <w:rPr>
          <w:rtl/>
          <w:lang w:eastAsia="he-IL"/>
        </w:rPr>
        <w:t>שהיא מחילה בטעות</w:t>
      </w:r>
      <w:r>
        <w:rPr>
          <w:rFonts w:hint="cs"/>
          <w:rtl/>
          <w:lang w:eastAsia="he-IL"/>
        </w:rPr>
        <w:t>,</w:t>
      </w:r>
      <w:r w:rsidRPr="00C13963">
        <w:rPr>
          <w:rtl/>
          <w:lang w:eastAsia="he-IL"/>
        </w:rPr>
        <w:t xml:space="preserve"> שהרי כל עיקר המחילה </w:t>
      </w:r>
      <w:proofErr w:type="spellStart"/>
      <w:r w:rsidRPr="00C13963">
        <w:rPr>
          <w:rtl/>
          <w:lang w:eastAsia="he-IL"/>
        </w:rPr>
        <w:t>היתה</w:t>
      </w:r>
      <w:proofErr w:type="spellEnd"/>
      <w:r w:rsidRPr="00C13963">
        <w:rPr>
          <w:rtl/>
          <w:lang w:eastAsia="he-IL"/>
        </w:rPr>
        <w:t xml:space="preserve"> כדי שיגרשה</w:t>
      </w:r>
      <w:r w:rsidRPr="00C13963">
        <w:rPr>
          <w:rFonts w:hint="cs"/>
          <w:rtl/>
          <w:lang w:eastAsia="he-IL"/>
        </w:rPr>
        <w:t>"</w:t>
      </w:r>
      <w:r>
        <w:rPr>
          <w:rFonts w:hint="cs"/>
          <w:rtl/>
          <w:lang w:eastAsia="he-IL"/>
        </w:rPr>
        <w:t>.</w:t>
      </w:r>
      <w:r w:rsidRPr="00C13963">
        <w:rPr>
          <w:rFonts w:hint="cs"/>
          <w:rtl/>
          <w:lang w:eastAsia="he-IL"/>
        </w:rPr>
        <w:t xml:space="preserve"> </w:t>
      </w:r>
    </w:p>
    <w:p w14:paraId="4520CDC6" w14:textId="77777777" w:rsidR="00BA19D6" w:rsidRPr="00AF272F" w:rsidRDefault="00BA19D6" w:rsidP="00BA19D6">
      <w:pPr>
        <w:snapToGrid w:val="0"/>
        <w:spacing w:after="120" w:line="276" w:lineRule="auto"/>
        <w:ind w:firstLine="397"/>
        <w:rPr>
          <w:rtl/>
          <w:lang w:eastAsia="he-IL"/>
        </w:rPr>
      </w:pPr>
      <w:r>
        <w:rPr>
          <w:rFonts w:hint="cs"/>
          <w:rtl/>
          <w:lang w:eastAsia="he-IL"/>
        </w:rPr>
        <w:t xml:space="preserve">ועיין בספר עטרת דבורה חלק א' סימן ס' שהאריך לחלק בין ארבעה מצבים שונים, מתי חל הוויתור על הכתובה בשעה שאחד הצדדים חוזר בו. </w:t>
      </w:r>
    </w:p>
    <w:p w14:paraId="1682FACD" w14:textId="77777777" w:rsidR="00BA19D6" w:rsidRDefault="00BA19D6" w:rsidP="00BA19D6">
      <w:pPr>
        <w:snapToGrid w:val="0"/>
        <w:spacing w:after="120" w:line="276" w:lineRule="auto"/>
        <w:ind w:firstLine="397"/>
        <w:rPr>
          <w:rtl/>
          <w:lang w:eastAsia="he-IL"/>
        </w:rPr>
      </w:pPr>
      <w:proofErr w:type="spellStart"/>
      <w:r>
        <w:rPr>
          <w:rtl/>
          <w:lang w:eastAsia="he-IL"/>
        </w:rPr>
        <w:t>חזינן</w:t>
      </w:r>
      <w:proofErr w:type="spellEnd"/>
      <w:r>
        <w:rPr>
          <w:rtl/>
          <w:lang w:eastAsia="he-IL"/>
        </w:rPr>
        <w:t xml:space="preserve"> דיש דינים שונים </w:t>
      </w:r>
      <w:r>
        <w:rPr>
          <w:rFonts w:hint="cs"/>
          <w:rtl/>
          <w:lang w:eastAsia="he-IL"/>
        </w:rPr>
        <w:t xml:space="preserve">לגבי </w:t>
      </w:r>
      <w:r>
        <w:rPr>
          <w:rtl/>
          <w:lang w:eastAsia="he-IL"/>
        </w:rPr>
        <w:t>הסכם שצד אחד מוכן לקיימו, והביטול הוא מהצד השני.</w:t>
      </w:r>
      <w:r>
        <w:rPr>
          <w:rFonts w:hint="cs"/>
          <w:rtl/>
          <w:lang w:eastAsia="he-IL"/>
        </w:rPr>
        <w:t xml:space="preserve"> לכן יש לדון בכל מקרה לגופו על פי נוסח ההסכם. </w:t>
      </w:r>
    </w:p>
    <w:p w14:paraId="39DC4418" w14:textId="77777777" w:rsidR="00BA19D6" w:rsidRDefault="00BA19D6" w:rsidP="00BA19D6">
      <w:pPr>
        <w:snapToGrid w:val="0"/>
        <w:spacing w:after="120" w:line="276" w:lineRule="auto"/>
        <w:ind w:firstLine="397"/>
        <w:rPr>
          <w:rtl/>
          <w:lang w:eastAsia="he-IL"/>
        </w:rPr>
      </w:pPr>
      <w:r>
        <w:rPr>
          <w:rFonts w:hint="cs"/>
          <w:rtl/>
          <w:lang w:eastAsia="he-IL"/>
        </w:rPr>
        <w:t xml:space="preserve">ה. בפסק דין של ביה"ד באר שבע </w:t>
      </w:r>
      <w:r w:rsidRPr="00BA19D6">
        <w:rPr>
          <w:rFonts w:hint="cs"/>
          <w:szCs w:val="24"/>
          <w:rtl/>
          <w:lang w:eastAsia="he-IL"/>
        </w:rPr>
        <w:t>(תיק מס' 8988-25-1 באתר נבו)</w:t>
      </w:r>
      <w:r>
        <w:rPr>
          <w:rFonts w:hint="cs"/>
          <w:rtl/>
          <w:lang w:eastAsia="he-IL"/>
        </w:rPr>
        <w:t xml:space="preserve"> נפסק - </w:t>
      </w:r>
    </w:p>
    <w:p w14:paraId="522D1A58" w14:textId="77777777" w:rsidR="00BA19D6" w:rsidRPr="007D7CDB" w:rsidRDefault="00BA19D6" w:rsidP="00BA19D6">
      <w:pPr>
        <w:pStyle w:val="aa"/>
        <w:rPr>
          <w:rtl/>
          <w:lang w:eastAsia="he-IL"/>
        </w:rPr>
      </w:pPr>
      <w:r w:rsidRPr="007D7CDB">
        <w:rPr>
          <w:rFonts w:hint="cs"/>
          <w:rtl/>
          <w:lang w:eastAsia="he-IL"/>
        </w:rPr>
        <w:t xml:space="preserve">"התחייבויות הצדדים בהסכם הגירושין חלות אך ורק עם ביצוע סידור הגט והגירושין בין בני הזוג. אין כל תוקף לביצוע ההתחייבויות הכספיות הנוגעות לרכוש המשותף, ובוודאי כל ההסכמים בעניין הפנסיה והזכויות הכלכליות באיזון המשאבים בין בני הזוג, תחולתם אך ורק מביצוע הגט בפועל. כל עוד לא בוצע הגט, אין בהתחייבויות אלו כלום." </w:t>
      </w:r>
    </w:p>
    <w:p w14:paraId="275882B4" w14:textId="77777777" w:rsidR="00BA19D6" w:rsidRDefault="00BA19D6" w:rsidP="00BA19D6">
      <w:pPr>
        <w:snapToGrid w:val="0"/>
        <w:spacing w:after="120" w:line="276" w:lineRule="auto"/>
        <w:ind w:firstLine="397"/>
        <w:rPr>
          <w:rtl/>
          <w:lang w:eastAsia="he-IL"/>
        </w:rPr>
      </w:pPr>
      <w:r>
        <w:rPr>
          <w:rFonts w:hint="cs"/>
          <w:rtl/>
          <w:lang w:eastAsia="he-IL"/>
        </w:rPr>
        <w:t>ו. ב</w:t>
      </w:r>
      <w:r>
        <w:rPr>
          <w:rtl/>
          <w:lang w:eastAsia="he-IL"/>
        </w:rPr>
        <w:t>פסק דין של ב</w:t>
      </w:r>
      <w:r>
        <w:rPr>
          <w:rFonts w:hint="cs"/>
          <w:rtl/>
          <w:lang w:eastAsia="he-IL"/>
        </w:rPr>
        <w:t xml:space="preserve">יה"ד הרבני הגדול </w:t>
      </w:r>
      <w:r w:rsidRPr="00BA19D6">
        <w:rPr>
          <w:rFonts w:hint="cs"/>
          <w:szCs w:val="24"/>
          <w:rtl/>
          <w:lang w:eastAsia="he-IL"/>
        </w:rPr>
        <w:t xml:space="preserve">(בהרכב </w:t>
      </w:r>
      <w:proofErr w:type="spellStart"/>
      <w:r w:rsidRPr="00BA19D6">
        <w:rPr>
          <w:rFonts w:hint="cs"/>
          <w:szCs w:val="24"/>
          <w:rtl/>
          <w:lang w:eastAsia="he-IL"/>
        </w:rPr>
        <w:t>הגר"ש</w:t>
      </w:r>
      <w:proofErr w:type="spellEnd"/>
      <w:r w:rsidRPr="00BA19D6">
        <w:rPr>
          <w:rFonts w:hint="cs"/>
          <w:szCs w:val="24"/>
          <w:rtl/>
          <w:lang w:eastAsia="he-IL"/>
        </w:rPr>
        <w:t xml:space="preserve"> גורן, </w:t>
      </w:r>
      <w:proofErr w:type="spellStart"/>
      <w:r w:rsidRPr="00BA19D6">
        <w:rPr>
          <w:rFonts w:hint="cs"/>
          <w:szCs w:val="24"/>
          <w:rtl/>
          <w:lang w:eastAsia="he-IL"/>
        </w:rPr>
        <w:t>הגר"א</w:t>
      </w:r>
      <w:proofErr w:type="spellEnd"/>
      <w:r w:rsidRPr="00BA19D6">
        <w:rPr>
          <w:rFonts w:hint="cs"/>
          <w:szCs w:val="24"/>
          <w:rtl/>
          <w:lang w:eastAsia="he-IL"/>
        </w:rPr>
        <w:t xml:space="preserve"> שפירא </w:t>
      </w:r>
      <w:proofErr w:type="spellStart"/>
      <w:r w:rsidRPr="00BA19D6">
        <w:rPr>
          <w:rFonts w:hint="cs"/>
          <w:szCs w:val="24"/>
          <w:rtl/>
          <w:lang w:eastAsia="he-IL"/>
        </w:rPr>
        <w:t>והגר"ש</w:t>
      </w:r>
      <w:proofErr w:type="spellEnd"/>
      <w:r w:rsidRPr="00BA19D6">
        <w:rPr>
          <w:rFonts w:hint="cs"/>
          <w:szCs w:val="24"/>
          <w:rtl/>
          <w:lang w:eastAsia="he-IL"/>
        </w:rPr>
        <w:t xml:space="preserve"> מזרחי זכר צדיקים לברכה, נדפס בקובץ פסקי דין של בתי הדין הרבניים </w:t>
      </w:r>
      <w:r w:rsidRPr="00BA19D6">
        <w:rPr>
          <w:szCs w:val="24"/>
          <w:rtl/>
          <w:lang w:eastAsia="he-IL"/>
        </w:rPr>
        <w:t>חלק י</w:t>
      </w:r>
      <w:r w:rsidRPr="00BA19D6">
        <w:rPr>
          <w:rFonts w:hint="cs"/>
          <w:szCs w:val="24"/>
          <w:rtl/>
          <w:lang w:eastAsia="he-IL"/>
        </w:rPr>
        <w:t>'</w:t>
      </w:r>
      <w:r w:rsidRPr="00BA19D6">
        <w:rPr>
          <w:szCs w:val="24"/>
          <w:rtl/>
          <w:lang w:eastAsia="he-IL"/>
        </w:rPr>
        <w:t xml:space="preserve"> עמוד</w:t>
      </w:r>
      <w:r w:rsidRPr="00BA19D6">
        <w:rPr>
          <w:rFonts w:hint="cs"/>
          <w:szCs w:val="24"/>
          <w:rtl/>
          <w:lang w:eastAsia="he-IL"/>
        </w:rPr>
        <w:t xml:space="preserve"> </w:t>
      </w:r>
      <w:r w:rsidRPr="00BA19D6">
        <w:rPr>
          <w:szCs w:val="24"/>
          <w:rtl/>
          <w:lang w:eastAsia="he-IL"/>
        </w:rPr>
        <w:t>124</w:t>
      </w:r>
      <w:r w:rsidRPr="00BA19D6">
        <w:rPr>
          <w:rFonts w:hint="cs"/>
          <w:szCs w:val="24"/>
          <w:rtl/>
          <w:lang w:eastAsia="he-IL"/>
        </w:rPr>
        <w:t>)</w:t>
      </w:r>
      <w:r>
        <w:rPr>
          <w:rFonts w:hint="cs"/>
          <w:rtl/>
          <w:lang w:eastAsia="he-IL"/>
        </w:rPr>
        <w:t xml:space="preserve">: </w:t>
      </w:r>
    </w:p>
    <w:p w14:paraId="099AF9FA" w14:textId="77777777" w:rsidR="00BA19D6" w:rsidRPr="007D7CDB" w:rsidRDefault="00BA19D6" w:rsidP="00BA19D6">
      <w:pPr>
        <w:pStyle w:val="aa"/>
        <w:rPr>
          <w:rtl/>
          <w:lang w:eastAsia="he-IL"/>
        </w:rPr>
      </w:pPr>
      <w:r w:rsidRPr="007D7CDB">
        <w:rPr>
          <w:rFonts w:hint="cs"/>
          <w:rtl/>
          <w:lang w:eastAsia="he-IL"/>
        </w:rPr>
        <w:t>"</w:t>
      </w:r>
      <w:r w:rsidRPr="007D7CDB">
        <w:rPr>
          <w:rtl/>
          <w:lang w:eastAsia="he-IL"/>
        </w:rPr>
        <w:t xml:space="preserve">ההסכם מורכב משני סוגי התחייבויות: התחייבויות הנובעות ממתן הגט והן: ההסדר </w:t>
      </w:r>
      <w:proofErr w:type="spellStart"/>
      <w:r w:rsidRPr="007D7CDB">
        <w:rPr>
          <w:rtl/>
          <w:lang w:eastAsia="he-IL"/>
        </w:rPr>
        <w:t>בענין</w:t>
      </w:r>
      <w:proofErr w:type="spellEnd"/>
      <w:r w:rsidRPr="007D7CDB">
        <w:rPr>
          <w:rtl/>
          <w:lang w:eastAsia="he-IL"/>
        </w:rPr>
        <w:t xml:space="preserve"> החזקת הילדים </w:t>
      </w:r>
      <w:r w:rsidRPr="007D7CDB">
        <w:rPr>
          <w:rFonts w:hint="cs"/>
          <w:rtl/>
          <w:lang w:eastAsia="he-IL"/>
        </w:rPr>
        <w:t>שב</w:t>
      </w:r>
      <w:r w:rsidRPr="007D7CDB">
        <w:rPr>
          <w:rtl/>
          <w:lang w:eastAsia="he-IL"/>
        </w:rPr>
        <w:t xml:space="preserve">הסכם, והתחייבויות האיש לעזוב את הדירה המשותפת של הצדדים שבסעיף ו', וכן סעיף ז' הדן בהעברת הדירה הנזכרת ע"ש </w:t>
      </w:r>
      <w:proofErr w:type="spellStart"/>
      <w:r w:rsidRPr="007D7CDB">
        <w:rPr>
          <w:rtl/>
          <w:lang w:eastAsia="he-IL"/>
        </w:rPr>
        <w:t>האשה</w:t>
      </w:r>
      <w:proofErr w:type="spellEnd"/>
      <w:r w:rsidRPr="007D7CDB">
        <w:rPr>
          <w:rtl/>
          <w:lang w:eastAsia="he-IL"/>
        </w:rPr>
        <w:t xml:space="preserve"> וסעיף ט' וויתור </w:t>
      </w:r>
      <w:proofErr w:type="spellStart"/>
      <w:r w:rsidRPr="007D7CDB">
        <w:rPr>
          <w:rtl/>
          <w:lang w:eastAsia="he-IL"/>
        </w:rPr>
        <w:t>האשה</w:t>
      </w:r>
      <w:proofErr w:type="spellEnd"/>
      <w:r w:rsidRPr="007D7CDB">
        <w:rPr>
          <w:rtl/>
          <w:lang w:eastAsia="he-IL"/>
        </w:rPr>
        <w:t xml:space="preserve"> על כתובתה. ביצוע סעיפים והתחייבויות אלו, תלוי במתן הגט ע"י האיש ובקבלת הגט ע"י </w:t>
      </w:r>
      <w:proofErr w:type="spellStart"/>
      <w:r w:rsidRPr="007D7CDB">
        <w:rPr>
          <w:rtl/>
          <w:lang w:eastAsia="he-IL"/>
        </w:rPr>
        <w:t>האשה</w:t>
      </w:r>
      <w:proofErr w:type="spellEnd"/>
      <w:r w:rsidRPr="007D7CDB">
        <w:rPr>
          <w:rtl/>
          <w:lang w:eastAsia="he-IL"/>
        </w:rPr>
        <w:t xml:space="preserve">, ואם חזר בו אחד הצדדים או שניהם גם יחד ממתן הגט, אין תחולה להתחייבויות אלו. זה מעין האמור בירושלמי במס' יבמות פ"א </w:t>
      </w:r>
      <w:proofErr w:type="spellStart"/>
      <w:r w:rsidRPr="007D7CDB">
        <w:rPr>
          <w:rtl/>
          <w:lang w:eastAsia="he-IL"/>
        </w:rPr>
        <w:t>הל"א</w:t>
      </w:r>
      <w:proofErr w:type="spellEnd"/>
      <w:r w:rsidRPr="007D7CDB">
        <w:rPr>
          <w:rtl/>
          <w:lang w:eastAsia="he-IL"/>
        </w:rPr>
        <w:t xml:space="preserve"> ר' לעזר בשם ר' אבון כל דבר שהוא בא מחמת הגורם, בטל הגורם בטל האיסור, ודבר שאינו בא מחמת הגורם, אף על פי שבטל הגורם, האיסור במקומו. הוא הדין בנידון דידן, ההתחייבויות הנ"ל, נקבעו אך ורק על רקע של ההסכם לגירושין, וכל עוד שלא בוצעו הגירושין, אין תוקף להתחייבויות הללו. </w:t>
      </w:r>
    </w:p>
    <w:p w14:paraId="1974A358" w14:textId="77777777" w:rsidR="00BA19D6" w:rsidRDefault="00BA19D6" w:rsidP="00BA19D6">
      <w:pPr>
        <w:pStyle w:val="aa"/>
        <w:rPr>
          <w:rtl/>
          <w:lang w:eastAsia="he-IL"/>
        </w:rPr>
      </w:pPr>
      <w:r w:rsidRPr="007D7CDB">
        <w:rPr>
          <w:rtl/>
          <w:lang w:eastAsia="he-IL"/>
        </w:rPr>
        <w:t xml:space="preserve">הסוג השני של התחייבויות הכלולות בהסכם, הן ההתחייבויות שאינן נובעות ממתן הגט והן: חובת המזונות לאשה ולילדים, שללא כל קשר עם הגירושין, </w:t>
      </w:r>
      <w:proofErr w:type="spellStart"/>
      <w:r w:rsidRPr="007D7CDB">
        <w:rPr>
          <w:rtl/>
          <w:lang w:eastAsia="he-IL"/>
        </w:rPr>
        <w:t>מחוייב</w:t>
      </w:r>
      <w:proofErr w:type="spellEnd"/>
      <w:r w:rsidRPr="007D7CDB">
        <w:rPr>
          <w:rtl/>
          <w:lang w:eastAsia="he-IL"/>
        </w:rPr>
        <w:t xml:space="preserve"> האיש ועומד לזון ולפרנס את אשתו ואת ילדיו, כל עוד שלא התגרשה </w:t>
      </w:r>
      <w:proofErr w:type="spellStart"/>
      <w:r w:rsidRPr="007D7CDB">
        <w:rPr>
          <w:rtl/>
          <w:lang w:eastAsia="he-IL"/>
        </w:rPr>
        <w:t>האשה</w:t>
      </w:r>
      <w:proofErr w:type="spellEnd"/>
      <w:r w:rsidRPr="007D7CDB">
        <w:rPr>
          <w:rtl/>
          <w:lang w:eastAsia="he-IL"/>
        </w:rPr>
        <w:t xml:space="preserve"> ולא הוכרזה כמורדת, או כמי שהפסידה מזונותיה. ואם ביה"ד האזורי לא מצא משום מה לנכון להכריע </w:t>
      </w:r>
      <w:proofErr w:type="spellStart"/>
      <w:r w:rsidRPr="007D7CDB">
        <w:rPr>
          <w:rtl/>
          <w:lang w:eastAsia="he-IL"/>
        </w:rPr>
        <w:t>בענין</w:t>
      </w:r>
      <w:proofErr w:type="spellEnd"/>
      <w:r w:rsidRPr="007D7CDB">
        <w:rPr>
          <w:rtl/>
          <w:lang w:eastAsia="he-IL"/>
        </w:rPr>
        <w:t xml:space="preserve"> גובה המזונות לאשה עד מתן הגט, אין בכך כל הצדקה להשאיר את </w:t>
      </w:r>
      <w:proofErr w:type="spellStart"/>
      <w:r w:rsidRPr="007D7CDB">
        <w:rPr>
          <w:rtl/>
          <w:lang w:eastAsia="he-IL"/>
        </w:rPr>
        <w:t>האשה</w:t>
      </w:r>
      <w:proofErr w:type="spellEnd"/>
      <w:r w:rsidRPr="007D7CDB">
        <w:rPr>
          <w:rtl/>
          <w:lang w:eastAsia="he-IL"/>
        </w:rPr>
        <w:t xml:space="preserve"> וילדיה רעבים ללחם. כי לפי כל הדעות, לא הפסידה </w:t>
      </w:r>
      <w:proofErr w:type="spellStart"/>
      <w:r w:rsidRPr="007D7CDB">
        <w:rPr>
          <w:rtl/>
          <w:lang w:eastAsia="he-IL"/>
        </w:rPr>
        <w:t>האשה</w:t>
      </w:r>
      <w:proofErr w:type="spellEnd"/>
      <w:r w:rsidRPr="007D7CDB">
        <w:rPr>
          <w:rtl/>
          <w:lang w:eastAsia="he-IL"/>
        </w:rPr>
        <w:t xml:space="preserve"> הנידונה מזונותיה, ואל לנו לאלץ את </w:t>
      </w:r>
      <w:proofErr w:type="spellStart"/>
      <w:r w:rsidRPr="007D7CDB">
        <w:rPr>
          <w:rtl/>
          <w:lang w:eastAsia="he-IL"/>
        </w:rPr>
        <w:t>האשה</w:t>
      </w:r>
      <w:proofErr w:type="spellEnd"/>
      <w:r w:rsidRPr="007D7CDB">
        <w:rPr>
          <w:rtl/>
          <w:lang w:eastAsia="he-IL"/>
        </w:rPr>
        <w:t xml:space="preserve"> לחפש את מזונותיה וזכויותיה בבית משפט אזרחי</w:t>
      </w:r>
      <w:r>
        <w:rPr>
          <w:rFonts w:hint="cs"/>
          <w:rtl/>
          <w:lang w:eastAsia="he-IL"/>
        </w:rPr>
        <w:t>...</w:t>
      </w:r>
      <w:r w:rsidRPr="007D7CDB">
        <w:rPr>
          <w:rtl/>
          <w:lang w:eastAsia="he-IL"/>
        </w:rPr>
        <w:t xml:space="preserve"> בעקבות זאת, שביה"ד הרבני האזורי לא הגיע לידי הכרעה </w:t>
      </w:r>
      <w:proofErr w:type="spellStart"/>
      <w:r w:rsidRPr="007D7CDB">
        <w:rPr>
          <w:rtl/>
          <w:lang w:eastAsia="he-IL"/>
        </w:rPr>
        <w:t>בענין</w:t>
      </w:r>
      <w:proofErr w:type="spellEnd"/>
      <w:r w:rsidRPr="007D7CDB">
        <w:rPr>
          <w:rtl/>
          <w:lang w:eastAsia="he-IL"/>
        </w:rPr>
        <w:t xml:space="preserve"> זה, נשארה </w:t>
      </w:r>
      <w:proofErr w:type="spellStart"/>
      <w:r w:rsidRPr="007D7CDB">
        <w:rPr>
          <w:rtl/>
          <w:lang w:eastAsia="he-IL"/>
        </w:rPr>
        <w:t>האשה</w:t>
      </w:r>
      <w:proofErr w:type="spellEnd"/>
      <w:r w:rsidRPr="007D7CDB">
        <w:rPr>
          <w:rtl/>
          <w:lang w:eastAsia="he-IL"/>
        </w:rPr>
        <w:t xml:space="preserve"> ובאופן מעשי גם שלושת ילדיה ללא פרנסה ומזונות. והרי תורתנו הקדושה דרכיה דרכי נועם וכל נתיבותיה שלום. היא מעניקה את הצדק המוחלט לכל דורשיה והבאים בשעריה.</w:t>
      </w:r>
      <w:r>
        <w:rPr>
          <w:rFonts w:hint="cs"/>
          <w:rtl/>
          <w:lang w:eastAsia="he-IL"/>
        </w:rPr>
        <w:t>..</w:t>
      </w:r>
    </w:p>
    <w:p w14:paraId="2AAB314D" w14:textId="77777777" w:rsidR="00BA19D6" w:rsidRPr="007D7CDB" w:rsidRDefault="00BA19D6" w:rsidP="00BA19D6">
      <w:pPr>
        <w:pStyle w:val="aa"/>
        <w:rPr>
          <w:rtl/>
          <w:lang w:eastAsia="he-IL"/>
        </w:rPr>
      </w:pPr>
      <w:r w:rsidRPr="007D7CDB">
        <w:rPr>
          <w:rtl/>
          <w:lang w:eastAsia="he-IL"/>
        </w:rPr>
        <w:t xml:space="preserve">אפשרות של חזרת האיש מביצוע הגירושין, כי במקרה כזה ברור שההסכם ופסק הדין שניתן לו תוקף של פסק דין, שריר וקיים, אלא שבכל הנוגע להתחייבויות הנובעות ישירות ממתן הגט כנ"ל, ברור שאינן חלות כל עוד שלא בוצע האקט של הגירושין. מה שאין כן התחייבות למזונות </w:t>
      </w:r>
      <w:proofErr w:type="spellStart"/>
      <w:r w:rsidRPr="007D7CDB">
        <w:rPr>
          <w:rtl/>
          <w:lang w:eastAsia="he-IL"/>
        </w:rPr>
        <w:t>האשה</w:t>
      </w:r>
      <w:proofErr w:type="spellEnd"/>
      <w:r w:rsidRPr="007D7CDB">
        <w:rPr>
          <w:rtl/>
          <w:lang w:eastAsia="he-IL"/>
        </w:rPr>
        <w:t xml:space="preserve"> </w:t>
      </w:r>
      <w:r w:rsidRPr="007D7CDB">
        <w:rPr>
          <w:rtl/>
          <w:lang w:eastAsia="he-IL"/>
        </w:rPr>
        <w:lastRenderedPageBreak/>
        <w:t xml:space="preserve">וילדיה וכיוצא בזה, </w:t>
      </w:r>
      <w:proofErr w:type="spellStart"/>
      <w:r w:rsidRPr="007D7CDB">
        <w:rPr>
          <w:rtl/>
          <w:lang w:eastAsia="he-IL"/>
        </w:rPr>
        <w:t>בודאי</w:t>
      </w:r>
      <w:proofErr w:type="spellEnd"/>
      <w:r w:rsidRPr="007D7CDB">
        <w:rPr>
          <w:rtl/>
          <w:lang w:eastAsia="he-IL"/>
        </w:rPr>
        <w:t xml:space="preserve"> שהן שרירות וקיימות הן מצד ההסכם שהתחייב עליו האיש </w:t>
      </w:r>
      <w:proofErr w:type="spellStart"/>
      <w:r w:rsidRPr="007D7CDB">
        <w:rPr>
          <w:rtl/>
          <w:lang w:eastAsia="he-IL"/>
        </w:rPr>
        <w:t>בקנין</w:t>
      </w:r>
      <w:proofErr w:type="spellEnd"/>
      <w:r w:rsidRPr="007D7CDB">
        <w:rPr>
          <w:rtl/>
          <w:lang w:eastAsia="he-IL"/>
        </w:rPr>
        <w:t xml:space="preserve"> אגב סודר ובחתימת ידו, והן מצד פסק הדין עצמו.</w:t>
      </w:r>
      <w:r w:rsidRPr="007D7CDB">
        <w:rPr>
          <w:rFonts w:hint="cs"/>
          <w:rtl/>
          <w:lang w:eastAsia="he-IL"/>
        </w:rPr>
        <w:t>"</w:t>
      </w:r>
    </w:p>
    <w:p w14:paraId="048F11A5" w14:textId="77777777" w:rsidR="00BA19D6" w:rsidRDefault="00BA19D6" w:rsidP="00BA19D6">
      <w:pPr>
        <w:snapToGrid w:val="0"/>
        <w:spacing w:after="120" w:line="276" w:lineRule="auto"/>
        <w:ind w:firstLine="397"/>
        <w:rPr>
          <w:rtl/>
          <w:lang w:eastAsia="he-IL"/>
        </w:rPr>
      </w:pPr>
      <w:r>
        <w:rPr>
          <w:rFonts w:hint="cs"/>
          <w:rtl/>
          <w:lang w:eastAsia="he-IL"/>
        </w:rPr>
        <w:t>ז. ב</w:t>
      </w:r>
      <w:r>
        <w:rPr>
          <w:rtl/>
          <w:lang w:eastAsia="he-IL"/>
        </w:rPr>
        <w:t>פסק</w:t>
      </w:r>
      <w:r>
        <w:rPr>
          <w:rFonts w:hint="cs"/>
          <w:rtl/>
          <w:lang w:eastAsia="he-IL"/>
        </w:rPr>
        <w:t xml:space="preserve"> דין של ביה"ד בת"א </w:t>
      </w:r>
      <w:r w:rsidRPr="00BA19D6">
        <w:rPr>
          <w:rFonts w:hint="cs"/>
          <w:szCs w:val="24"/>
          <w:rtl/>
          <w:lang w:eastAsia="he-IL"/>
        </w:rPr>
        <w:t xml:space="preserve">(בהרכב </w:t>
      </w:r>
      <w:proofErr w:type="spellStart"/>
      <w:r w:rsidRPr="00BA19D6">
        <w:rPr>
          <w:rFonts w:hint="cs"/>
          <w:szCs w:val="24"/>
          <w:rtl/>
          <w:lang w:eastAsia="he-IL"/>
        </w:rPr>
        <w:t>הגרח"ג</w:t>
      </w:r>
      <w:proofErr w:type="spellEnd"/>
      <w:r w:rsidRPr="00BA19D6">
        <w:rPr>
          <w:rFonts w:hint="cs"/>
          <w:szCs w:val="24"/>
          <w:rtl/>
          <w:lang w:eastAsia="he-IL"/>
        </w:rPr>
        <w:t xml:space="preserve"> </w:t>
      </w:r>
      <w:proofErr w:type="spellStart"/>
      <w:r w:rsidRPr="00BA19D6">
        <w:rPr>
          <w:rFonts w:hint="cs"/>
          <w:szCs w:val="24"/>
          <w:rtl/>
          <w:lang w:eastAsia="he-IL"/>
        </w:rPr>
        <w:t>צימבליסט</w:t>
      </w:r>
      <w:proofErr w:type="spellEnd"/>
      <w:r w:rsidRPr="00BA19D6">
        <w:rPr>
          <w:rFonts w:hint="cs"/>
          <w:szCs w:val="24"/>
          <w:rtl/>
          <w:lang w:eastAsia="he-IL"/>
        </w:rPr>
        <w:t xml:space="preserve"> </w:t>
      </w:r>
      <w:proofErr w:type="spellStart"/>
      <w:r w:rsidRPr="00BA19D6">
        <w:rPr>
          <w:rFonts w:hint="cs"/>
          <w:szCs w:val="24"/>
          <w:rtl/>
          <w:lang w:eastAsia="he-IL"/>
        </w:rPr>
        <w:t>והגר"ע</w:t>
      </w:r>
      <w:proofErr w:type="spellEnd"/>
      <w:r w:rsidRPr="00BA19D6">
        <w:rPr>
          <w:rFonts w:hint="cs"/>
          <w:szCs w:val="24"/>
          <w:rtl/>
          <w:lang w:eastAsia="he-IL"/>
        </w:rPr>
        <w:t xml:space="preserve"> אזולאי זכר צדיקים לברכה </w:t>
      </w:r>
      <w:proofErr w:type="spellStart"/>
      <w:r w:rsidRPr="00BA19D6">
        <w:rPr>
          <w:rFonts w:hint="cs"/>
          <w:szCs w:val="24"/>
          <w:rtl/>
          <w:lang w:eastAsia="he-IL"/>
        </w:rPr>
        <w:t>ולהבל"ח</w:t>
      </w:r>
      <w:proofErr w:type="spellEnd"/>
      <w:r w:rsidRPr="00BA19D6">
        <w:rPr>
          <w:rFonts w:hint="cs"/>
          <w:szCs w:val="24"/>
          <w:rtl/>
          <w:lang w:eastAsia="he-IL"/>
        </w:rPr>
        <w:t xml:space="preserve"> </w:t>
      </w:r>
      <w:proofErr w:type="spellStart"/>
      <w:r w:rsidRPr="00BA19D6">
        <w:rPr>
          <w:rFonts w:hint="cs"/>
          <w:szCs w:val="24"/>
          <w:rtl/>
          <w:lang w:eastAsia="he-IL"/>
        </w:rPr>
        <w:t>הגר"ש</w:t>
      </w:r>
      <w:proofErr w:type="spellEnd"/>
      <w:r w:rsidRPr="00BA19D6">
        <w:rPr>
          <w:rFonts w:hint="cs"/>
          <w:szCs w:val="24"/>
          <w:rtl/>
          <w:lang w:eastAsia="he-IL"/>
        </w:rPr>
        <w:t xml:space="preserve"> </w:t>
      </w:r>
      <w:proofErr w:type="spellStart"/>
      <w:r w:rsidRPr="00BA19D6">
        <w:rPr>
          <w:rFonts w:hint="cs"/>
          <w:szCs w:val="24"/>
          <w:rtl/>
          <w:lang w:eastAsia="he-IL"/>
        </w:rPr>
        <w:t>דיכובסקי</w:t>
      </w:r>
      <w:proofErr w:type="spellEnd"/>
      <w:r w:rsidRPr="00BA19D6">
        <w:rPr>
          <w:rFonts w:hint="cs"/>
          <w:szCs w:val="24"/>
          <w:rtl/>
          <w:lang w:eastAsia="he-IL"/>
        </w:rPr>
        <w:t xml:space="preserve"> </w:t>
      </w:r>
      <w:proofErr w:type="spellStart"/>
      <w:r w:rsidRPr="00BA19D6">
        <w:rPr>
          <w:rFonts w:hint="cs"/>
          <w:szCs w:val="24"/>
          <w:rtl/>
          <w:lang w:eastAsia="he-IL"/>
        </w:rPr>
        <w:t>שליט"א</w:t>
      </w:r>
      <w:proofErr w:type="spellEnd"/>
      <w:r w:rsidRPr="00BA19D6">
        <w:rPr>
          <w:rFonts w:hint="cs"/>
          <w:szCs w:val="24"/>
          <w:rtl/>
          <w:lang w:eastAsia="he-IL"/>
        </w:rPr>
        <w:t>, נדפס בכרך י"א של קובץ פסקי הדין עמ' 93)</w:t>
      </w:r>
      <w:r>
        <w:rPr>
          <w:rFonts w:hint="cs"/>
          <w:rtl/>
          <w:lang w:eastAsia="he-IL"/>
        </w:rPr>
        <w:t xml:space="preserve"> : </w:t>
      </w:r>
    </w:p>
    <w:p w14:paraId="7FA4A308" w14:textId="77777777" w:rsidR="00BA19D6" w:rsidRPr="007D7CDB" w:rsidRDefault="00BA19D6" w:rsidP="00BA19D6">
      <w:pPr>
        <w:pStyle w:val="aa"/>
        <w:rPr>
          <w:rtl/>
          <w:lang w:eastAsia="he-IL"/>
        </w:rPr>
      </w:pPr>
      <w:r w:rsidRPr="007D7CDB">
        <w:rPr>
          <w:rFonts w:hint="cs"/>
          <w:rtl/>
          <w:lang w:eastAsia="he-IL"/>
        </w:rPr>
        <w:t>"...</w:t>
      </w:r>
      <w:r w:rsidRPr="007D7CDB">
        <w:rPr>
          <w:rtl/>
          <w:lang w:eastAsia="he-IL"/>
        </w:rPr>
        <w:t xml:space="preserve">ואף אנו נאמר בכל הסכם גירושין, כל שבא אחד הצדדים ואמר שנמלך בדעתו שמוטב לעשות שלום בית, וכל מה שהסכים תחילה לגירושין היה מתוך שיקול מוטעה, שפיר יוכל לומר שגם הקנין על הממון בטל, </w:t>
      </w:r>
      <w:proofErr w:type="spellStart"/>
      <w:r w:rsidRPr="007D7CDB">
        <w:rPr>
          <w:rtl/>
          <w:lang w:eastAsia="he-IL"/>
        </w:rPr>
        <w:t>דקנין</w:t>
      </w:r>
      <w:proofErr w:type="spellEnd"/>
      <w:r w:rsidRPr="007D7CDB">
        <w:rPr>
          <w:rtl/>
          <w:lang w:eastAsia="he-IL"/>
        </w:rPr>
        <w:t xml:space="preserve"> בטעות הוא. </w:t>
      </w:r>
    </w:p>
    <w:p w14:paraId="6A0F5DAB" w14:textId="77777777" w:rsidR="00BA19D6" w:rsidRPr="007D7CDB" w:rsidRDefault="00BA19D6" w:rsidP="00BA19D6">
      <w:pPr>
        <w:pStyle w:val="aa"/>
        <w:rPr>
          <w:rtl/>
          <w:lang w:eastAsia="he-IL"/>
        </w:rPr>
      </w:pPr>
      <w:r w:rsidRPr="007D7CDB">
        <w:rPr>
          <w:rtl/>
          <w:lang w:eastAsia="he-IL"/>
        </w:rPr>
        <w:t xml:space="preserve">אולם </w:t>
      </w:r>
      <w:proofErr w:type="spellStart"/>
      <w:r w:rsidRPr="007D7CDB">
        <w:rPr>
          <w:rtl/>
          <w:lang w:eastAsia="he-IL"/>
        </w:rPr>
        <w:t>נידוננו</w:t>
      </w:r>
      <w:proofErr w:type="spellEnd"/>
      <w:r w:rsidRPr="007D7CDB">
        <w:rPr>
          <w:rtl/>
          <w:lang w:eastAsia="he-IL"/>
        </w:rPr>
        <w:t xml:space="preserve"> שאני, שהרי האיש דנן גם עכשיו אינו מבקש שלום בית, ומסכים לגירושין, אלא שמבקש לשנות את תנאי הגירושין ולהוציא ממנה את הקיוסק וכנ"ל, וא"כ לא יוכל לטעון שהקנ</w:t>
      </w:r>
      <w:r w:rsidRPr="007D7CDB">
        <w:rPr>
          <w:rFonts w:hint="cs"/>
          <w:rtl/>
          <w:lang w:eastAsia="he-IL"/>
        </w:rPr>
        <w:t>י</w:t>
      </w:r>
      <w:r w:rsidRPr="007D7CDB">
        <w:rPr>
          <w:rtl/>
          <w:lang w:eastAsia="he-IL"/>
        </w:rPr>
        <w:t xml:space="preserve">ין היה בטעות, שהרי לעצם הגירושין דעתו עתה כדעתו אז, ושפיר עומד הסכם הגירושין בתקפו עכ"פ </w:t>
      </w:r>
      <w:proofErr w:type="spellStart"/>
      <w:r w:rsidRPr="007D7CDB">
        <w:rPr>
          <w:rtl/>
          <w:lang w:eastAsia="he-IL"/>
        </w:rPr>
        <w:t>לענין</w:t>
      </w:r>
      <w:proofErr w:type="spellEnd"/>
      <w:r w:rsidRPr="007D7CDB">
        <w:rPr>
          <w:rtl/>
          <w:lang w:eastAsia="he-IL"/>
        </w:rPr>
        <w:t xml:space="preserve"> הממון.</w:t>
      </w:r>
      <w:r w:rsidRPr="007D7CDB">
        <w:rPr>
          <w:rFonts w:hint="cs"/>
          <w:rtl/>
          <w:lang w:eastAsia="he-IL"/>
        </w:rPr>
        <w:t>..</w:t>
      </w:r>
      <w:r>
        <w:rPr>
          <w:rFonts w:hint="cs"/>
          <w:rtl/>
          <w:lang w:eastAsia="he-IL"/>
        </w:rPr>
        <w:t xml:space="preserve"> </w:t>
      </w:r>
      <w:r w:rsidRPr="007D7CDB">
        <w:rPr>
          <w:rtl/>
          <w:lang w:eastAsia="he-IL"/>
        </w:rPr>
        <w:t xml:space="preserve">זאת ועוד, </w:t>
      </w:r>
      <w:proofErr w:type="spellStart"/>
      <w:r w:rsidRPr="007D7CDB">
        <w:rPr>
          <w:rtl/>
          <w:lang w:eastAsia="he-IL"/>
        </w:rPr>
        <w:t>בנידוננו</w:t>
      </w:r>
      <w:proofErr w:type="spellEnd"/>
      <w:r w:rsidRPr="007D7CDB">
        <w:rPr>
          <w:rtl/>
          <w:lang w:eastAsia="he-IL"/>
        </w:rPr>
        <w:t xml:space="preserve"> כיון שגם הוא אינו רוצה בשלום בית ממילא הוא חייב לגרשה, שהרי אינו יכול לעגנה ללא שלום וללא גירושין</w:t>
      </w:r>
      <w:r w:rsidRPr="007D7CDB">
        <w:rPr>
          <w:rFonts w:hint="cs"/>
          <w:rtl/>
          <w:lang w:eastAsia="he-IL"/>
        </w:rPr>
        <w:t>."</w:t>
      </w:r>
    </w:p>
    <w:p w14:paraId="6A895B62" w14:textId="77777777" w:rsidR="00BA19D6" w:rsidRDefault="00BA19D6" w:rsidP="00BA19D6">
      <w:pPr>
        <w:snapToGrid w:val="0"/>
        <w:spacing w:after="120" w:line="276" w:lineRule="auto"/>
        <w:ind w:firstLine="397"/>
        <w:rPr>
          <w:rtl/>
          <w:lang w:eastAsia="he-IL"/>
        </w:rPr>
      </w:pPr>
      <w:r>
        <w:rPr>
          <w:rFonts w:hint="cs"/>
          <w:rtl/>
          <w:lang w:eastAsia="he-IL"/>
        </w:rPr>
        <w:t xml:space="preserve">ב"כ הבת מביא </w:t>
      </w:r>
      <w:proofErr w:type="spellStart"/>
      <w:r>
        <w:rPr>
          <w:rFonts w:hint="cs"/>
          <w:rtl/>
          <w:lang w:eastAsia="he-IL"/>
        </w:rPr>
        <w:t>פד"ר</w:t>
      </w:r>
      <w:proofErr w:type="spellEnd"/>
      <w:r>
        <w:rPr>
          <w:rFonts w:hint="cs"/>
          <w:rtl/>
          <w:lang w:eastAsia="he-IL"/>
        </w:rPr>
        <w:t xml:space="preserve"> זה כסייעתא לדבריו. אולם מכאן עולה היפך דבריו. שהרי </w:t>
      </w:r>
      <w:proofErr w:type="spellStart"/>
      <w:r>
        <w:rPr>
          <w:rFonts w:hint="cs"/>
          <w:rtl/>
          <w:lang w:eastAsia="he-IL"/>
        </w:rPr>
        <w:t>בפד"ר</w:t>
      </w:r>
      <w:proofErr w:type="spellEnd"/>
      <w:r>
        <w:rPr>
          <w:rFonts w:hint="cs"/>
          <w:rtl/>
          <w:lang w:eastAsia="he-IL"/>
        </w:rPr>
        <w:t xml:space="preserve"> דנו שכדי לא להשאירה עגונה, חייב לגרשה. אולם במצב שהאישה נפטרה, יש לדקדק מה הייתה הסיבה שבגינה העביר האיש את הדירה לאישה. </w:t>
      </w:r>
    </w:p>
    <w:p w14:paraId="3283BEE1" w14:textId="77777777" w:rsidR="00BA19D6" w:rsidRDefault="00BA19D6" w:rsidP="00BA19D6">
      <w:pPr>
        <w:snapToGrid w:val="0"/>
        <w:spacing w:after="120" w:line="276" w:lineRule="auto"/>
        <w:ind w:firstLine="397"/>
        <w:rPr>
          <w:rtl/>
          <w:lang w:eastAsia="he-IL"/>
        </w:rPr>
      </w:pPr>
      <w:r>
        <w:rPr>
          <w:rFonts w:hint="cs"/>
          <w:rtl/>
          <w:lang w:eastAsia="he-IL"/>
        </w:rPr>
        <w:t xml:space="preserve">ח. הבאנו לעיל בסעיף ו' את פסק  ביה"ד הגדול. מסקנת הפסק שם בעמוד 139 - </w:t>
      </w:r>
    </w:p>
    <w:p w14:paraId="033E9662" w14:textId="77777777" w:rsidR="00BA19D6" w:rsidRPr="007D7CDB" w:rsidRDefault="00BA19D6" w:rsidP="00BA19D6">
      <w:pPr>
        <w:pStyle w:val="aa"/>
        <w:rPr>
          <w:rtl/>
          <w:lang w:eastAsia="he-IL"/>
        </w:rPr>
      </w:pPr>
      <w:r w:rsidRPr="007D7CDB">
        <w:rPr>
          <w:rFonts w:hint="cs"/>
          <w:rtl/>
          <w:lang w:eastAsia="he-IL"/>
        </w:rPr>
        <w:t>"</w:t>
      </w:r>
      <w:r w:rsidRPr="007D7CDB">
        <w:rPr>
          <w:rtl/>
          <w:lang w:eastAsia="he-IL"/>
        </w:rPr>
        <w:t xml:space="preserve">היוצא מכל הנ"ל הוא, שבכל הסכם גירושין שבו מודגש עכ"פ בכותרת ההסכם שכל הסעיפים הם סעיפי הסכם גירושין, כיון שזמנם הוא עם מתן הגט, </w:t>
      </w:r>
      <w:proofErr w:type="spellStart"/>
      <w:r w:rsidRPr="007D7CDB">
        <w:rPr>
          <w:rtl/>
          <w:lang w:eastAsia="he-IL"/>
        </w:rPr>
        <w:t>ואדעתא</w:t>
      </w:r>
      <w:proofErr w:type="spellEnd"/>
      <w:r w:rsidRPr="007D7CDB">
        <w:rPr>
          <w:rtl/>
          <w:lang w:eastAsia="he-IL"/>
        </w:rPr>
        <w:t xml:space="preserve"> </w:t>
      </w:r>
      <w:proofErr w:type="spellStart"/>
      <w:r w:rsidRPr="007D7CDB">
        <w:rPr>
          <w:rtl/>
          <w:lang w:eastAsia="he-IL"/>
        </w:rPr>
        <w:t>דגירושין</w:t>
      </w:r>
      <w:proofErr w:type="spellEnd"/>
      <w:r w:rsidRPr="007D7CDB">
        <w:rPr>
          <w:rtl/>
          <w:lang w:eastAsia="he-IL"/>
        </w:rPr>
        <w:t xml:space="preserve"> התחייבו מה שהתחייבו, לכן כל עיכוב בביצוע הגירושין הוי עיכוב לתוקף של הסעיפים של ההסכם, שרק לשם סידור </w:t>
      </w:r>
      <w:r w:rsidRPr="007D7CDB">
        <w:rPr>
          <w:rFonts w:hint="cs"/>
          <w:rtl/>
          <w:lang w:eastAsia="he-IL"/>
        </w:rPr>
        <w:t>הענייני</w:t>
      </w:r>
      <w:r w:rsidRPr="007D7CDB">
        <w:rPr>
          <w:rFonts w:hint="eastAsia"/>
          <w:rtl/>
          <w:lang w:eastAsia="he-IL"/>
        </w:rPr>
        <w:t>ם</w:t>
      </w:r>
      <w:r w:rsidRPr="007D7CDB">
        <w:rPr>
          <w:rtl/>
          <w:lang w:eastAsia="he-IL"/>
        </w:rPr>
        <w:t xml:space="preserve"> אחרי הגירושין בין בני הזוג התחייבו מה שהתחייבו, ואפילו אם ביצוע הגירושין נתעכב או בוטל בפשיעה של אחד הצדדים, אין זה גורם לחייבו בהתחייבות הממונית. וגם אם נקבע התחלת ביצוע לפני הגירושין יש לדון בהם עד כמה הם נהיו ע"י כך מנותקים מהגירושין עצמן, ומהו נימוק עיכוב הגירושין עצמן, וכנ"ל. </w:t>
      </w:r>
    </w:p>
    <w:p w14:paraId="131BDC82" w14:textId="2304709D" w:rsidR="00BA19D6" w:rsidRPr="00CF3178" w:rsidRDefault="00BA19D6" w:rsidP="00BA19D6">
      <w:pPr>
        <w:pStyle w:val="aa"/>
        <w:rPr>
          <w:rtl/>
          <w:lang w:eastAsia="he-IL"/>
        </w:rPr>
      </w:pPr>
      <w:r w:rsidRPr="00CF3178">
        <w:rPr>
          <w:rtl/>
          <w:lang w:eastAsia="he-IL"/>
        </w:rPr>
        <w:t>אותן התחייבויות כספיות שמעצם טיבן אינ</w:t>
      </w:r>
      <w:r w:rsidR="0061419D">
        <w:rPr>
          <w:rFonts w:hint="cs"/>
          <w:rtl/>
          <w:lang w:eastAsia="he-IL"/>
        </w:rPr>
        <w:t>ן</w:t>
      </w:r>
      <w:r w:rsidRPr="00CF3178">
        <w:rPr>
          <w:rtl/>
          <w:lang w:eastAsia="he-IL"/>
        </w:rPr>
        <w:t xml:space="preserve"> קשור</w:t>
      </w:r>
      <w:r>
        <w:rPr>
          <w:rFonts w:hint="cs"/>
          <w:rtl/>
          <w:lang w:eastAsia="he-IL"/>
        </w:rPr>
        <w:t xml:space="preserve">ות </w:t>
      </w:r>
      <w:r w:rsidRPr="00CF3178">
        <w:rPr>
          <w:rtl/>
          <w:lang w:eastAsia="he-IL"/>
        </w:rPr>
        <w:t xml:space="preserve">עם הסכם גירושין, כגון מזונות </w:t>
      </w:r>
      <w:proofErr w:type="spellStart"/>
      <w:r w:rsidRPr="00CF3178">
        <w:rPr>
          <w:rtl/>
          <w:lang w:eastAsia="he-IL"/>
        </w:rPr>
        <w:t>אשה</w:t>
      </w:r>
      <w:proofErr w:type="spellEnd"/>
      <w:r w:rsidRPr="00CF3178">
        <w:rPr>
          <w:rtl/>
          <w:lang w:eastAsia="he-IL"/>
        </w:rPr>
        <w:t>, שהגירושין הם, אדרבא, גורם להפסקת התחייבות כזו, וכן מזונות ילדים, שאמנם קשורים וחייבים להיות מובהרים ומפורטים על תקפם אחרי הגירושין, אבל עצם החיוב קיים ועומד גם לפני הגירושין, במקרים אלו אין לומר שקיום ההתחייבות כרו</w:t>
      </w:r>
      <w:r>
        <w:rPr>
          <w:rFonts w:hint="cs"/>
          <w:rtl/>
          <w:lang w:eastAsia="he-IL"/>
        </w:rPr>
        <w:t>ך</w:t>
      </w:r>
      <w:r w:rsidRPr="00CF3178">
        <w:rPr>
          <w:rtl/>
          <w:lang w:eastAsia="he-IL"/>
        </w:rPr>
        <w:t xml:space="preserve"> בביצוע הסופי של הסכם הגירושין - היינו עם קבלת הגט. </w:t>
      </w:r>
      <w:r>
        <w:rPr>
          <w:rFonts w:hint="cs"/>
          <w:rtl/>
          <w:lang w:eastAsia="he-IL"/>
        </w:rPr>
        <w:t>ה</w:t>
      </w:r>
      <w:r w:rsidRPr="00CF3178">
        <w:rPr>
          <w:rtl/>
          <w:lang w:eastAsia="he-IL"/>
        </w:rPr>
        <w:t xml:space="preserve">זכרתו בהסכם הגירושין, בפרט במזונות </w:t>
      </w:r>
      <w:proofErr w:type="spellStart"/>
      <w:r w:rsidRPr="00CF3178">
        <w:rPr>
          <w:rtl/>
          <w:lang w:eastAsia="he-IL"/>
        </w:rPr>
        <w:t>אשה</w:t>
      </w:r>
      <w:proofErr w:type="spellEnd"/>
      <w:r w:rsidRPr="00CF3178">
        <w:rPr>
          <w:rtl/>
          <w:lang w:eastAsia="he-IL"/>
        </w:rPr>
        <w:t xml:space="preserve"> שכאמור גירושין באים לסיים חיוב מזונות ולא להיפך, אינה באה בדרך כלל אלא גם כדי לסיים חילוקי דעות בין הצדדים בקשר לכך לפני הגירושין, כדי שעם ההסכם לא </w:t>
      </w:r>
      <w:proofErr w:type="spellStart"/>
      <w:r w:rsidRPr="00CF3178">
        <w:rPr>
          <w:rtl/>
          <w:lang w:eastAsia="he-IL"/>
        </w:rPr>
        <w:t>ישאר</w:t>
      </w:r>
      <w:proofErr w:type="spellEnd"/>
      <w:r w:rsidRPr="00CF3178">
        <w:rPr>
          <w:rtl/>
          <w:lang w:eastAsia="he-IL"/>
        </w:rPr>
        <w:t xml:space="preserve"> שום סכסוך כל שהוא בין הצדדים מזמן שעבר, וכמבואר </w:t>
      </w:r>
      <w:proofErr w:type="spellStart"/>
      <w:r w:rsidRPr="00CF3178">
        <w:rPr>
          <w:rtl/>
          <w:lang w:eastAsia="he-IL"/>
        </w:rPr>
        <w:t>בשו"ע</w:t>
      </w:r>
      <w:proofErr w:type="spellEnd"/>
      <w:r w:rsidRPr="00CF3178">
        <w:rPr>
          <w:rtl/>
          <w:lang w:eastAsia="he-IL"/>
        </w:rPr>
        <w:t xml:space="preserve"> </w:t>
      </w:r>
      <w:proofErr w:type="spellStart"/>
      <w:r w:rsidRPr="00CF3178">
        <w:rPr>
          <w:rtl/>
          <w:lang w:eastAsia="he-IL"/>
        </w:rPr>
        <w:t>אבהע"ז</w:t>
      </w:r>
      <w:proofErr w:type="spellEnd"/>
      <w:r w:rsidRPr="00CF3178">
        <w:rPr>
          <w:rtl/>
          <w:lang w:eastAsia="he-IL"/>
        </w:rPr>
        <w:t xml:space="preserve"> שלפני הגירושין יש להסדיר את כל סכסוכי הזוג בממון.</w:t>
      </w:r>
      <w:r w:rsidRPr="00CF3178">
        <w:rPr>
          <w:rFonts w:hint="cs"/>
          <w:rtl/>
          <w:lang w:eastAsia="he-IL"/>
        </w:rPr>
        <w:t>"</w:t>
      </w:r>
    </w:p>
    <w:p w14:paraId="2EE735D4" w14:textId="77777777" w:rsidR="00BA19D6" w:rsidRDefault="00BA19D6" w:rsidP="00BA19D6">
      <w:pPr>
        <w:snapToGrid w:val="0"/>
        <w:spacing w:after="120" w:line="276" w:lineRule="auto"/>
        <w:ind w:firstLine="397"/>
        <w:rPr>
          <w:rtl/>
          <w:lang w:eastAsia="he-IL"/>
        </w:rPr>
      </w:pPr>
      <w:r>
        <w:rPr>
          <w:rFonts w:hint="cs"/>
          <w:rtl/>
          <w:lang w:eastAsia="he-IL"/>
        </w:rPr>
        <w:t xml:space="preserve">ט. מגמה זו נכונה גם על פי חוק. סעיף 19 לחוק החוזים קובע כדלקמן - </w:t>
      </w:r>
    </w:p>
    <w:p w14:paraId="7708E53F" w14:textId="77777777" w:rsidR="00BA19D6" w:rsidRPr="00CF3178" w:rsidRDefault="00BA19D6" w:rsidP="00BA19D6">
      <w:pPr>
        <w:pStyle w:val="aa"/>
        <w:rPr>
          <w:rtl/>
          <w:lang w:eastAsia="he-IL"/>
        </w:rPr>
      </w:pPr>
      <w:r>
        <w:rPr>
          <w:rFonts w:hint="cs"/>
          <w:rtl/>
          <w:lang w:eastAsia="he-IL"/>
        </w:rPr>
        <w:t>"</w:t>
      </w:r>
      <w:r w:rsidRPr="00CF3178">
        <w:rPr>
          <w:rtl/>
          <w:lang w:eastAsia="he-IL"/>
        </w:rPr>
        <w:t>ניתן החוזה להפרדה לחלקים ועילת הביטול נוגעת רק לאחד מחלקיו, ניתן לביטול אותו חלק בלבד; אולם אם יש להניח שהצד הרשאי לבטל לא היה מתקשר בחוזה לולא העילה, רשאי הוא לבטל את החלק האמור או את החוזה כולו</w:t>
      </w:r>
      <w:r w:rsidRPr="00CF3178">
        <w:rPr>
          <w:lang w:eastAsia="he-IL"/>
        </w:rPr>
        <w:t>.</w:t>
      </w:r>
      <w:r>
        <w:rPr>
          <w:rFonts w:hint="cs"/>
          <w:rtl/>
          <w:lang w:eastAsia="he-IL"/>
        </w:rPr>
        <w:t>"</w:t>
      </w:r>
    </w:p>
    <w:p w14:paraId="2B4F9CEC" w14:textId="77777777" w:rsidR="00BA19D6" w:rsidRPr="00A55E5E" w:rsidRDefault="00BA19D6" w:rsidP="00BA19D6">
      <w:pPr>
        <w:snapToGrid w:val="0"/>
        <w:spacing w:after="120" w:line="276" w:lineRule="auto"/>
        <w:ind w:firstLine="397"/>
        <w:rPr>
          <w:b/>
          <w:bCs/>
          <w:lang w:eastAsia="he-IL"/>
        </w:rPr>
      </w:pPr>
      <w:r>
        <w:rPr>
          <w:rFonts w:hint="cs"/>
          <w:rtl/>
          <w:lang w:eastAsia="he-IL"/>
        </w:rPr>
        <w:t>י. בנידון דידן</w:t>
      </w:r>
    </w:p>
    <w:p w14:paraId="2843C71A" w14:textId="77777777" w:rsidR="00BA19D6" w:rsidRDefault="00BA19D6" w:rsidP="00BA19D6">
      <w:pPr>
        <w:snapToGrid w:val="0"/>
        <w:spacing w:after="120" w:line="276" w:lineRule="auto"/>
        <w:ind w:firstLine="397"/>
        <w:rPr>
          <w:rtl/>
          <w:lang w:eastAsia="he-IL"/>
        </w:rPr>
      </w:pPr>
      <w:r>
        <w:rPr>
          <w:rFonts w:hint="cs"/>
          <w:rtl/>
          <w:lang w:eastAsia="he-IL"/>
        </w:rPr>
        <w:lastRenderedPageBreak/>
        <w:t>עיון בהסכם הגירושין מעלה כי העברת חלק האיש בדירה לאישה הייתה בנסיבות הגירושין. כך עולה גם מדברי הבת עצמה בפרוטוקול.</w:t>
      </w:r>
    </w:p>
    <w:p w14:paraId="4B3A0138" w14:textId="77777777" w:rsidR="00BA19D6" w:rsidRDefault="00BA19D6" w:rsidP="00BA19D6">
      <w:pPr>
        <w:pStyle w:val="ae"/>
        <w:numPr>
          <w:ilvl w:val="0"/>
          <w:numId w:val="34"/>
        </w:numPr>
      </w:pPr>
      <w:r>
        <w:rPr>
          <w:rFonts w:hint="cs"/>
          <w:rtl/>
        </w:rPr>
        <w:t xml:space="preserve">הבת טענה כי המתנה ניתנה בגלל היותם פרודים במשך שנים ארוכות בהן נשאה האישה לבדה בנטל הכלכלי, וכן בגלל שאת כל תמורת הדירה בתל אביב נטל האיש לעצמו. המשמעות </w:t>
      </w:r>
      <w:r>
        <w:rPr>
          <w:rtl/>
        </w:rPr>
        <w:t>–</w:t>
      </w:r>
      <w:r>
        <w:rPr>
          <w:rFonts w:hint="cs"/>
          <w:rtl/>
        </w:rPr>
        <w:t xml:space="preserve"> האיש מפצה כעת עם הגירושין את האישה. רצונו הוא לפצות את האישה להמשך חייה לאחר הגירושין. אולם מדוע לומר כי ללא גירושין, ובנסיבות המצערות של מות האישה, תתקבל מתנת האיש ליורשיה?!  </w:t>
      </w:r>
    </w:p>
    <w:p w14:paraId="0B4D93D8" w14:textId="77777777" w:rsidR="00BA19D6" w:rsidRDefault="00BA19D6" w:rsidP="00BA19D6">
      <w:pPr>
        <w:pStyle w:val="ae"/>
        <w:numPr>
          <w:ilvl w:val="0"/>
          <w:numId w:val="34"/>
        </w:numPr>
      </w:pPr>
      <w:r>
        <w:rPr>
          <w:rFonts w:hint="cs"/>
          <w:rtl/>
        </w:rPr>
        <w:t>דיוקים בלשון הסכם הגירושין:</w:t>
      </w:r>
    </w:p>
    <w:p w14:paraId="3A2D786C" w14:textId="77777777" w:rsidR="00BA19D6" w:rsidRDefault="00BA19D6" w:rsidP="00BA19D6">
      <w:pPr>
        <w:pStyle w:val="ae"/>
        <w:numPr>
          <w:ilvl w:val="0"/>
          <w:numId w:val="35"/>
        </w:numPr>
      </w:pPr>
      <w:r>
        <w:rPr>
          <w:rFonts w:hint="cs"/>
          <w:rtl/>
        </w:rPr>
        <w:t xml:space="preserve">בראש ההסכם נאמר כי ההחלטה להיפרד היא </w:t>
      </w:r>
      <w:proofErr w:type="spellStart"/>
      <w:r>
        <w:rPr>
          <w:rFonts w:hint="cs"/>
          <w:rtl/>
        </w:rPr>
        <w:t>בג"פ</w:t>
      </w:r>
      <w:proofErr w:type="spellEnd"/>
      <w:r>
        <w:rPr>
          <w:rFonts w:hint="cs"/>
          <w:rtl/>
        </w:rPr>
        <w:t xml:space="preserve"> כדמו"י, והסדרת כל העניינים הכרוכים בפירוד יהיו "בהסכם זה", כלומר בגירושין. </w:t>
      </w:r>
    </w:p>
    <w:p w14:paraId="7D718E7D" w14:textId="77777777" w:rsidR="00BA19D6" w:rsidRDefault="00BA19D6" w:rsidP="00BA19D6">
      <w:pPr>
        <w:pStyle w:val="ae"/>
        <w:numPr>
          <w:ilvl w:val="0"/>
          <w:numId w:val="35"/>
        </w:numPr>
      </w:pPr>
      <w:r>
        <w:rPr>
          <w:rFonts w:hint="cs"/>
          <w:rtl/>
        </w:rPr>
        <w:t>בסעיף 1 : "המבוא וההצהרות שבראש הסכם זה מחייבים כתוכנו".</w:t>
      </w:r>
    </w:p>
    <w:p w14:paraId="087447A7" w14:textId="77777777" w:rsidR="00BA19D6" w:rsidRPr="00C21A6A" w:rsidRDefault="00BA19D6" w:rsidP="00BA19D6">
      <w:pPr>
        <w:pStyle w:val="ae"/>
        <w:numPr>
          <w:ilvl w:val="0"/>
          <w:numId w:val="35"/>
        </w:numPr>
        <w:rPr>
          <w:rStyle w:val="ab"/>
          <w:rFonts w:eastAsia="Times New Roman"/>
          <w:i w:val="0"/>
          <w:color w:val="auto"/>
          <w:kern w:val="0"/>
          <w:sz w:val="28"/>
        </w:rPr>
      </w:pPr>
      <w:r>
        <w:rPr>
          <w:rFonts w:hint="cs"/>
          <w:rtl/>
        </w:rPr>
        <w:t xml:space="preserve">בסעיף 6: </w:t>
      </w:r>
      <w:r w:rsidRPr="00C21A6A">
        <w:rPr>
          <w:rFonts w:hint="cs"/>
          <w:color w:val="000000" w:themeColor="text1"/>
          <w:rtl/>
        </w:rPr>
        <w:t xml:space="preserve"> </w:t>
      </w:r>
      <w:r w:rsidRPr="0075319C">
        <w:rPr>
          <w:rStyle w:val="ab"/>
          <w:rFonts w:hint="cs"/>
          <w:rtl/>
        </w:rPr>
        <w:t xml:space="preserve">"הבעל מתחייב להעביר לאישה ע"פ הסכם הגירושין זה וללא תמורה את כל זכויותיו בדירה, דהיינו מחצית </w:t>
      </w:r>
      <w:r w:rsidRPr="00BA19D6">
        <w:rPr>
          <w:rStyle w:val="ab"/>
          <w:rFonts w:hint="cs"/>
          <w:szCs w:val="24"/>
          <w:rtl/>
        </w:rPr>
        <w:t>(1/2)</w:t>
      </w:r>
      <w:r w:rsidRPr="0075319C">
        <w:rPr>
          <w:rStyle w:val="ab"/>
          <w:rFonts w:hint="cs"/>
          <w:rtl/>
        </w:rPr>
        <w:t xml:space="preserve"> מהזכויות בדירת המגורים".</w:t>
      </w:r>
    </w:p>
    <w:p w14:paraId="6FED770E" w14:textId="77777777" w:rsidR="00BA19D6" w:rsidRDefault="00BA19D6" w:rsidP="00BA19D6">
      <w:pPr>
        <w:pStyle w:val="ae"/>
        <w:ind w:left="900"/>
        <w:rPr>
          <w:rtl/>
        </w:rPr>
      </w:pPr>
      <w:proofErr w:type="spellStart"/>
      <w:r w:rsidRPr="00C21A6A">
        <w:rPr>
          <w:rFonts w:hint="cs"/>
          <w:rtl/>
        </w:rPr>
        <w:t>מדוייק</w:t>
      </w:r>
      <w:proofErr w:type="spellEnd"/>
      <w:r w:rsidRPr="00C21A6A">
        <w:rPr>
          <w:rFonts w:hint="cs"/>
          <w:rtl/>
        </w:rPr>
        <w:t xml:space="preserve"> בלשון ההסכם שהעברת הזכויות היא על פי הסכם הגירושין. לעומת זאת, בשאר הנושאים שבהסכם, הניסוח הוא </w:t>
      </w:r>
      <w:r w:rsidRPr="00C21A6A">
        <w:rPr>
          <w:rtl/>
        </w:rPr>
        <w:t>–</w:t>
      </w:r>
      <w:r w:rsidRPr="00C21A6A">
        <w:rPr>
          <w:rFonts w:hint="cs"/>
          <w:rtl/>
        </w:rPr>
        <w:t xml:space="preserve"> "הסכם", ולא הסכם גירושין. </w:t>
      </w:r>
    </w:p>
    <w:p w14:paraId="03FD466E" w14:textId="77777777" w:rsidR="00BA19D6" w:rsidRPr="00C21A6A" w:rsidRDefault="00BA19D6" w:rsidP="00BA19D6">
      <w:pPr>
        <w:pStyle w:val="ae"/>
        <w:ind w:left="900"/>
        <w:rPr>
          <w:rtl/>
        </w:rPr>
      </w:pPr>
      <w:r w:rsidRPr="0075319C">
        <w:rPr>
          <w:rFonts w:hint="cs"/>
          <w:rtl/>
        </w:rPr>
        <w:t xml:space="preserve">כך בסעיפים 2, 3, 4 </w:t>
      </w:r>
      <w:r w:rsidRPr="0075319C">
        <w:rPr>
          <w:rtl/>
        </w:rPr>
        <w:t>–</w:t>
      </w:r>
      <w:r w:rsidRPr="0075319C">
        <w:rPr>
          <w:rFonts w:hint="cs"/>
          <w:rtl/>
        </w:rPr>
        <w:t xml:space="preserve"> "ההסכם". כך בסעיף שונות, סעיפים 8-12, המילה </w:t>
      </w:r>
      <w:r>
        <w:rPr>
          <w:rFonts w:hint="cs"/>
          <w:rtl/>
        </w:rPr>
        <w:t>"</w:t>
      </w:r>
      <w:r w:rsidRPr="0075319C">
        <w:rPr>
          <w:rFonts w:hint="cs"/>
          <w:rtl/>
        </w:rPr>
        <w:t>הסכם</w:t>
      </w:r>
      <w:r>
        <w:rPr>
          <w:rFonts w:hint="cs"/>
          <w:rtl/>
        </w:rPr>
        <w:t>"</w:t>
      </w:r>
      <w:r w:rsidRPr="0075319C">
        <w:rPr>
          <w:rFonts w:hint="cs"/>
          <w:rtl/>
        </w:rPr>
        <w:t xml:space="preserve"> מופיעה לבדה, ללא ההקשר- הסכם הגירושין. למעשה, המילה "הסכם" מופיעה 13 פעמים בגוף ההסכם, מלבד הכותרת "הסכם גירושין", ורק בפעם אחת מוזכרות צמד המילים "הסכם גירושין" </w:t>
      </w:r>
      <w:r w:rsidRPr="0075319C">
        <w:rPr>
          <w:rtl/>
        </w:rPr>
        <w:t>–</w:t>
      </w:r>
      <w:r w:rsidRPr="0075319C">
        <w:rPr>
          <w:rFonts w:hint="cs"/>
          <w:rtl/>
        </w:rPr>
        <w:t xml:space="preserve"> רק בהקשר של העברת חלקו בדירה לאישה. מוכח שההעברה הייתה בהקשר של הגירושין, ולא בהקשר אחר. ממילא ללא גירושין, אין תוקף להעברת החלק בדירה. כלומר זהו סעיף מהותי ולא סעיף צדדי בהסכם. </w:t>
      </w:r>
    </w:p>
    <w:p w14:paraId="2683A4A2" w14:textId="77777777" w:rsidR="00BA19D6" w:rsidRDefault="00BA19D6" w:rsidP="00BA19D6">
      <w:pPr>
        <w:snapToGrid w:val="0"/>
        <w:spacing w:after="120" w:line="276" w:lineRule="auto"/>
        <w:ind w:firstLine="397"/>
        <w:rPr>
          <w:lang w:eastAsia="he-IL"/>
        </w:rPr>
      </w:pPr>
      <w:r>
        <w:rPr>
          <w:rFonts w:hint="cs"/>
          <w:rtl/>
          <w:lang w:eastAsia="he-IL"/>
        </w:rPr>
        <w:t xml:space="preserve">יא. </w:t>
      </w:r>
      <w:proofErr w:type="spellStart"/>
      <w:r>
        <w:rPr>
          <w:rFonts w:hint="cs"/>
          <w:rtl/>
          <w:lang w:eastAsia="he-IL"/>
        </w:rPr>
        <w:t>מדקדקין</w:t>
      </w:r>
      <w:proofErr w:type="spellEnd"/>
      <w:r>
        <w:rPr>
          <w:rFonts w:hint="cs"/>
          <w:rtl/>
          <w:lang w:eastAsia="he-IL"/>
        </w:rPr>
        <w:t xml:space="preserve"> בלשון השטר</w:t>
      </w:r>
    </w:p>
    <w:p w14:paraId="234F96F2" w14:textId="77777777" w:rsidR="00BA19D6" w:rsidRDefault="00BA19D6" w:rsidP="00BA19D6">
      <w:pPr>
        <w:snapToGrid w:val="0"/>
        <w:spacing w:after="120" w:line="276" w:lineRule="auto"/>
        <w:ind w:firstLine="397"/>
        <w:rPr>
          <w:rtl/>
          <w:lang w:eastAsia="he-IL"/>
        </w:rPr>
      </w:pPr>
      <w:r>
        <w:rPr>
          <w:rFonts w:hint="cs"/>
          <w:rtl/>
          <w:lang w:eastAsia="he-IL"/>
        </w:rPr>
        <w:t xml:space="preserve">הראנו בסעיף הקודם כי לשון ההסכם בסעיף 6 מורה על העברת הדירה רק בכפוף לגירושין. על פי דין, אין להבין שטר או הסכם בהבנה כללית, אלא יש לעיין היטב בסעיפיו. כך כתב </w:t>
      </w:r>
      <w:proofErr w:type="spellStart"/>
      <w:r>
        <w:rPr>
          <w:rFonts w:hint="cs"/>
          <w:rtl/>
          <w:lang w:eastAsia="he-IL"/>
        </w:rPr>
        <w:t>ב</w:t>
      </w:r>
      <w:r>
        <w:rPr>
          <w:rtl/>
          <w:lang w:eastAsia="he-IL"/>
        </w:rPr>
        <w:t>שו"ת</w:t>
      </w:r>
      <w:proofErr w:type="spellEnd"/>
      <w:r>
        <w:rPr>
          <w:rtl/>
          <w:lang w:eastAsia="he-IL"/>
        </w:rPr>
        <w:t xml:space="preserve"> </w:t>
      </w:r>
      <w:proofErr w:type="spellStart"/>
      <w:r>
        <w:rPr>
          <w:rtl/>
          <w:lang w:eastAsia="he-IL"/>
        </w:rPr>
        <w:t>הריב"ש</w:t>
      </w:r>
      <w:proofErr w:type="spellEnd"/>
      <w:r>
        <w:rPr>
          <w:rtl/>
          <w:lang w:eastAsia="he-IL"/>
        </w:rPr>
        <w:t xml:space="preserve"> סימן ת</w:t>
      </w:r>
      <w:r>
        <w:rPr>
          <w:rFonts w:hint="cs"/>
          <w:rtl/>
          <w:lang w:eastAsia="he-IL"/>
        </w:rPr>
        <w:t>"</w:t>
      </w:r>
      <w:r>
        <w:rPr>
          <w:rtl/>
          <w:lang w:eastAsia="he-IL"/>
        </w:rPr>
        <w:t>פ</w:t>
      </w:r>
      <w:r>
        <w:rPr>
          <w:rFonts w:hint="cs"/>
          <w:rtl/>
          <w:lang w:eastAsia="he-IL"/>
        </w:rPr>
        <w:t xml:space="preserve"> - </w:t>
      </w:r>
    </w:p>
    <w:p w14:paraId="3F5E8F51" w14:textId="77777777" w:rsidR="00BA19D6" w:rsidRDefault="00BA19D6" w:rsidP="00BA19D6">
      <w:pPr>
        <w:pStyle w:val="aa"/>
        <w:rPr>
          <w:rtl/>
          <w:lang w:eastAsia="he-IL"/>
        </w:rPr>
      </w:pPr>
      <w:r w:rsidRPr="00CF3178">
        <w:rPr>
          <w:rFonts w:hint="cs"/>
          <w:rtl/>
          <w:lang w:eastAsia="he-IL"/>
        </w:rPr>
        <w:t>"</w:t>
      </w:r>
      <w:r w:rsidRPr="00CF3178">
        <w:rPr>
          <w:rtl/>
          <w:lang w:eastAsia="he-IL"/>
        </w:rPr>
        <w:t xml:space="preserve">ומה שנסתפק אולי האי גברא לא </w:t>
      </w:r>
      <w:proofErr w:type="spellStart"/>
      <w:r w:rsidRPr="00CF3178">
        <w:rPr>
          <w:rtl/>
          <w:lang w:eastAsia="he-IL"/>
        </w:rPr>
        <w:t>גמיר</w:t>
      </w:r>
      <w:proofErr w:type="spellEnd"/>
      <w:r w:rsidRPr="00CF3178">
        <w:rPr>
          <w:rtl/>
          <w:lang w:eastAsia="he-IL"/>
        </w:rPr>
        <w:t xml:space="preserve">, </w:t>
      </w:r>
      <w:proofErr w:type="spellStart"/>
      <w:r w:rsidRPr="00CF3178">
        <w:rPr>
          <w:rtl/>
          <w:lang w:eastAsia="he-IL"/>
        </w:rPr>
        <w:t>דלאו</w:t>
      </w:r>
      <w:proofErr w:type="spellEnd"/>
      <w:r w:rsidRPr="00CF3178">
        <w:rPr>
          <w:rtl/>
          <w:lang w:eastAsia="he-IL"/>
        </w:rPr>
        <w:t xml:space="preserve"> כולי עלמא </w:t>
      </w:r>
      <w:proofErr w:type="spellStart"/>
      <w:r w:rsidRPr="00CF3178">
        <w:rPr>
          <w:rtl/>
          <w:lang w:eastAsia="he-IL"/>
        </w:rPr>
        <w:t>דינא</w:t>
      </w:r>
      <w:proofErr w:type="spellEnd"/>
      <w:r w:rsidRPr="00CF3178">
        <w:rPr>
          <w:rtl/>
          <w:lang w:eastAsia="he-IL"/>
        </w:rPr>
        <w:t xml:space="preserve"> </w:t>
      </w:r>
      <w:proofErr w:type="spellStart"/>
      <w:r w:rsidRPr="00CF3178">
        <w:rPr>
          <w:rtl/>
          <w:lang w:eastAsia="he-IL"/>
        </w:rPr>
        <w:t>גמירי</w:t>
      </w:r>
      <w:proofErr w:type="spellEnd"/>
      <w:r w:rsidRPr="00CF3178">
        <w:rPr>
          <w:rtl/>
          <w:lang w:eastAsia="he-IL"/>
        </w:rPr>
        <w:t xml:space="preserve">, והיה סבור שיוכלו לכופה לקבל </w:t>
      </w:r>
      <w:proofErr w:type="spellStart"/>
      <w:r w:rsidRPr="00CF3178">
        <w:rPr>
          <w:rtl/>
          <w:lang w:eastAsia="he-IL"/>
        </w:rPr>
        <w:t>פרעון</w:t>
      </w:r>
      <w:proofErr w:type="spellEnd"/>
      <w:r w:rsidRPr="00CF3178">
        <w:rPr>
          <w:rtl/>
          <w:lang w:eastAsia="he-IL"/>
        </w:rPr>
        <w:t xml:space="preserve"> כתובתה ולהפסידה מזונותיה, ולזה </w:t>
      </w:r>
      <w:proofErr w:type="spellStart"/>
      <w:r w:rsidRPr="00CF3178">
        <w:rPr>
          <w:rtl/>
          <w:lang w:eastAsia="he-IL"/>
        </w:rPr>
        <w:t>צוה</w:t>
      </w:r>
      <w:proofErr w:type="spellEnd"/>
      <w:r w:rsidRPr="00CF3178">
        <w:rPr>
          <w:rtl/>
          <w:lang w:eastAsia="he-IL"/>
        </w:rPr>
        <w:t xml:space="preserve"> שתהיה </w:t>
      </w:r>
      <w:proofErr w:type="spellStart"/>
      <w:r w:rsidRPr="00CF3178">
        <w:rPr>
          <w:rtl/>
          <w:lang w:eastAsia="he-IL"/>
        </w:rPr>
        <w:t>נזונת</w:t>
      </w:r>
      <w:proofErr w:type="spellEnd"/>
      <w:r w:rsidRPr="00CF3178">
        <w:rPr>
          <w:rtl/>
          <w:lang w:eastAsia="he-IL"/>
        </w:rPr>
        <w:t xml:space="preserve"> כל הזמן אם תרצה כל שלא תהיה נפרעת מכתובתה ולא תתבענה </w:t>
      </w:r>
      <w:proofErr w:type="spellStart"/>
      <w:r w:rsidRPr="00CF3178">
        <w:rPr>
          <w:rtl/>
          <w:lang w:eastAsia="he-IL"/>
        </w:rPr>
        <w:t>בב"ד</w:t>
      </w:r>
      <w:proofErr w:type="spellEnd"/>
      <w:r w:rsidRPr="00CF3178">
        <w:rPr>
          <w:rtl/>
          <w:lang w:eastAsia="he-IL"/>
        </w:rPr>
        <w:t xml:space="preserve">. אין כאן ספק, </w:t>
      </w:r>
      <w:proofErr w:type="spellStart"/>
      <w:r w:rsidRPr="00CF3178">
        <w:rPr>
          <w:rtl/>
          <w:lang w:eastAsia="he-IL"/>
        </w:rPr>
        <w:t>דהא</w:t>
      </w:r>
      <w:proofErr w:type="spellEnd"/>
      <w:r w:rsidRPr="00CF3178">
        <w:rPr>
          <w:rtl/>
          <w:lang w:eastAsia="he-IL"/>
        </w:rPr>
        <w:t xml:space="preserve"> </w:t>
      </w:r>
      <w:proofErr w:type="spellStart"/>
      <w:r w:rsidRPr="00CF3178">
        <w:rPr>
          <w:rtl/>
          <w:lang w:eastAsia="he-IL"/>
        </w:rPr>
        <w:t>אמרינן</w:t>
      </w:r>
      <w:proofErr w:type="spellEnd"/>
      <w:r w:rsidRPr="00CF3178">
        <w:rPr>
          <w:rtl/>
          <w:lang w:eastAsia="he-IL"/>
        </w:rPr>
        <w:t xml:space="preserve"> בפרק יש </w:t>
      </w:r>
      <w:proofErr w:type="spellStart"/>
      <w:r w:rsidRPr="00CF3178">
        <w:rPr>
          <w:rtl/>
          <w:lang w:eastAsia="he-IL"/>
        </w:rPr>
        <w:t>נוחלין</w:t>
      </w:r>
      <w:proofErr w:type="spellEnd"/>
      <w:r w:rsidRPr="00CF3178">
        <w:rPr>
          <w:rtl/>
          <w:lang w:eastAsia="he-IL"/>
        </w:rPr>
        <w:t xml:space="preserve"> </w:t>
      </w:r>
      <w:r w:rsidRPr="00BA19D6">
        <w:rPr>
          <w:szCs w:val="24"/>
          <w:rtl/>
          <w:lang w:eastAsia="he-IL"/>
        </w:rPr>
        <w:t>(קל"ח:)</w:t>
      </w:r>
      <w:r w:rsidRPr="00CF3178">
        <w:rPr>
          <w:rtl/>
          <w:lang w:eastAsia="he-IL"/>
        </w:rPr>
        <w:t xml:space="preserve"> תנו מנה לפלוני בעל חובי בראוי לו, </w:t>
      </w:r>
      <w:proofErr w:type="spellStart"/>
      <w:r w:rsidRPr="00CF3178">
        <w:rPr>
          <w:rtl/>
          <w:lang w:eastAsia="he-IL"/>
        </w:rPr>
        <w:t>נוטלן</w:t>
      </w:r>
      <w:proofErr w:type="spellEnd"/>
      <w:r w:rsidRPr="00CF3178">
        <w:rPr>
          <w:rtl/>
          <w:lang w:eastAsia="he-IL"/>
        </w:rPr>
        <w:t xml:space="preserve"> ונוטל חובו. </w:t>
      </w:r>
      <w:proofErr w:type="spellStart"/>
      <w:r w:rsidRPr="00CF3178">
        <w:rPr>
          <w:rtl/>
          <w:lang w:eastAsia="he-IL"/>
        </w:rPr>
        <w:t>ומקשינן</w:t>
      </w:r>
      <w:proofErr w:type="spellEnd"/>
      <w:r w:rsidRPr="00CF3178">
        <w:rPr>
          <w:rtl/>
          <w:lang w:eastAsia="he-IL"/>
        </w:rPr>
        <w:t xml:space="preserve"> משום </w:t>
      </w:r>
      <w:proofErr w:type="spellStart"/>
      <w:r w:rsidRPr="00CF3178">
        <w:rPr>
          <w:rtl/>
          <w:lang w:eastAsia="he-IL"/>
        </w:rPr>
        <w:t>דאמר</w:t>
      </w:r>
      <w:proofErr w:type="spellEnd"/>
      <w:r w:rsidRPr="00CF3178">
        <w:rPr>
          <w:rtl/>
          <w:lang w:eastAsia="he-IL"/>
        </w:rPr>
        <w:t xml:space="preserve"> בראוי לו, </w:t>
      </w:r>
      <w:proofErr w:type="spellStart"/>
      <w:r w:rsidRPr="00CF3178">
        <w:rPr>
          <w:rtl/>
          <w:lang w:eastAsia="he-IL"/>
        </w:rPr>
        <w:t>נוטלן</w:t>
      </w:r>
      <w:proofErr w:type="spellEnd"/>
      <w:r w:rsidRPr="00CF3178">
        <w:rPr>
          <w:rtl/>
          <w:lang w:eastAsia="he-IL"/>
        </w:rPr>
        <w:t xml:space="preserve"> ונוטל חובו</w:t>
      </w:r>
      <w:r>
        <w:rPr>
          <w:rtl/>
          <w:lang w:eastAsia="he-IL"/>
        </w:rPr>
        <w:t xml:space="preserve">, </w:t>
      </w:r>
      <w:proofErr w:type="spellStart"/>
      <w:r w:rsidRPr="00CF3178">
        <w:rPr>
          <w:rtl/>
          <w:lang w:eastAsia="he-IL"/>
        </w:rPr>
        <w:t>דלמא</w:t>
      </w:r>
      <w:proofErr w:type="spellEnd"/>
      <w:r w:rsidRPr="00CF3178">
        <w:rPr>
          <w:rtl/>
          <w:lang w:eastAsia="he-IL"/>
        </w:rPr>
        <w:t xml:space="preserve"> בראוי לו בחובו, </w:t>
      </w:r>
      <w:proofErr w:type="spellStart"/>
      <w:r w:rsidRPr="00CF3178">
        <w:rPr>
          <w:rtl/>
          <w:lang w:eastAsia="he-IL"/>
        </w:rPr>
        <w:t>קאמר</w:t>
      </w:r>
      <w:proofErr w:type="spellEnd"/>
      <w:r w:rsidRPr="00CF3178">
        <w:rPr>
          <w:rtl/>
          <w:lang w:eastAsia="he-IL"/>
        </w:rPr>
        <w:t xml:space="preserve">, </w:t>
      </w:r>
      <w:proofErr w:type="spellStart"/>
      <w:r w:rsidRPr="00CF3178">
        <w:rPr>
          <w:rtl/>
          <w:lang w:eastAsia="he-IL"/>
        </w:rPr>
        <w:t>ומשנינן</w:t>
      </w:r>
      <w:proofErr w:type="spellEnd"/>
      <w:r w:rsidRPr="00CF3178">
        <w:rPr>
          <w:rtl/>
          <w:lang w:eastAsia="he-IL"/>
        </w:rPr>
        <w:t xml:space="preserve"> הא מני רבי עקיבא היא </w:t>
      </w:r>
      <w:proofErr w:type="spellStart"/>
      <w:r w:rsidRPr="00CF3178">
        <w:rPr>
          <w:rtl/>
          <w:lang w:eastAsia="he-IL"/>
        </w:rPr>
        <w:t>דדייק</w:t>
      </w:r>
      <w:proofErr w:type="spellEnd"/>
      <w:r w:rsidRPr="00CF3178">
        <w:rPr>
          <w:rtl/>
          <w:lang w:eastAsia="he-IL"/>
        </w:rPr>
        <w:t xml:space="preserve"> לישנא </w:t>
      </w:r>
      <w:proofErr w:type="spellStart"/>
      <w:r w:rsidRPr="00CF3178">
        <w:rPr>
          <w:rtl/>
          <w:lang w:eastAsia="he-IL"/>
        </w:rPr>
        <w:t>יתירא</w:t>
      </w:r>
      <w:proofErr w:type="spellEnd"/>
      <w:r w:rsidRPr="00CF3178">
        <w:rPr>
          <w:rtl/>
          <w:lang w:eastAsia="he-IL"/>
        </w:rPr>
        <w:t xml:space="preserve">. </w:t>
      </w:r>
      <w:proofErr w:type="spellStart"/>
      <w:r w:rsidRPr="00CF3178">
        <w:rPr>
          <w:rtl/>
          <w:lang w:eastAsia="he-IL"/>
        </w:rPr>
        <w:t>דתנן</w:t>
      </w:r>
      <w:proofErr w:type="spellEnd"/>
      <w:r w:rsidRPr="00CF3178">
        <w:rPr>
          <w:rtl/>
          <w:lang w:eastAsia="he-IL"/>
        </w:rPr>
        <w:t xml:space="preserve"> לא את הבור ולא את הדות, אף על פי שכתב לו </w:t>
      </w:r>
      <w:proofErr w:type="spellStart"/>
      <w:r w:rsidRPr="00CF3178">
        <w:rPr>
          <w:rtl/>
          <w:lang w:eastAsia="he-IL"/>
        </w:rPr>
        <w:t>עומקא</w:t>
      </w:r>
      <w:proofErr w:type="spellEnd"/>
      <w:r w:rsidRPr="00CF3178">
        <w:rPr>
          <w:rtl/>
          <w:lang w:eastAsia="he-IL"/>
        </w:rPr>
        <w:t xml:space="preserve"> ורומא, וצריך </w:t>
      </w:r>
      <w:proofErr w:type="spellStart"/>
      <w:r w:rsidRPr="00CF3178">
        <w:rPr>
          <w:rtl/>
          <w:lang w:eastAsia="he-IL"/>
        </w:rPr>
        <w:t>ליקח</w:t>
      </w:r>
      <w:proofErr w:type="spellEnd"/>
      <w:r w:rsidRPr="00CF3178">
        <w:rPr>
          <w:rtl/>
          <w:lang w:eastAsia="he-IL"/>
        </w:rPr>
        <w:t xml:space="preserve"> לו דרך, דברי ר' עקיבא. וחכמים אומרים אין צריך </w:t>
      </w:r>
      <w:proofErr w:type="spellStart"/>
      <w:r w:rsidRPr="00CF3178">
        <w:rPr>
          <w:rtl/>
          <w:lang w:eastAsia="he-IL"/>
        </w:rPr>
        <w:t>ליקח</w:t>
      </w:r>
      <w:proofErr w:type="spellEnd"/>
      <w:r w:rsidRPr="00CF3178">
        <w:rPr>
          <w:rtl/>
          <w:lang w:eastAsia="he-IL"/>
        </w:rPr>
        <w:t xml:space="preserve"> לו דרך. ומודה ר' עקיבא בזמן שאמר לו חוץ מאלו, שאין צריך </w:t>
      </w:r>
      <w:proofErr w:type="spellStart"/>
      <w:r w:rsidRPr="00CF3178">
        <w:rPr>
          <w:rtl/>
          <w:lang w:eastAsia="he-IL"/>
        </w:rPr>
        <w:t>ליקח</w:t>
      </w:r>
      <w:proofErr w:type="spellEnd"/>
      <w:r w:rsidRPr="00CF3178">
        <w:rPr>
          <w:rtl/>
          <w:lang w:eastAsia="he-IL"/>
        </w:rPr>
        <w:t xml:space="preserve"> לו דרך. </w:t>
      </w:r>
      <w:proofErr w:type="spellStart"/>
      <w:r w:rsidRPr="00CF3178">
        <w:rPr>
          <w:rtl/>
          <w:lang w:eastAsia="he-IL"/>
        </w:rPr>
        <w:t>אלמא</w:t>
      </w:r>
      <w:proofErr w:type="spellEnd"/>
      <w:r w:rsidRPr="00CF3178">
        <w:rPr>
          <w:rtl/>
          <w:lang w:eastAsia="he-IL"/>
        </w:rPr>
        <w:t xml:space="preserve"> כיון דלא צריך </w:t>
      </w:r>
      <w:proofErr w:type="spellStart"/>
      <w:r w:rsidRPr="00CF3178">
        <w:rPr>
          <w:rtl/>
          <w:lang w:eastAsia="he-IL"/>
        </w:rPr>
        <w:t>וקאמר</w:t>
      </w:r>
      <w:proofErr w:type="spellEnd"/>
      <w:r w:rsidRPr="00CF3178">
        <w:rPr>
          <w:rtl/>
          <w:lang w:eastAsia="he-IL"/>
        </w:rPr>
        <w:t xml:space="preserve"> </w:t>
      </w:r>
      <w:proofErr w:type="spellStart"/>
      <w:r w:rsidRPr="00CF3178">
        <w:rPr>
          <w:rtl/>
          <w:lang w:eastAsia="he-IL"/>
        </w:rPr>
        <w:t>לטפויי</w:t>
      </w:r>
      <w:proofErr w:type="spellEnd"/>
      <w:r w:rsidRPr="00CF3178">
        <w:rPr>
          <w:rtl/>
          <w:lang w:eastAsia="he-IL"/>
        </w:rPr>
        <w:t xml:space="preserve"> מילתא </w:t>
      </w:r>
      <w:proofErr w:type="spellStart"/>
      <w:r w:rsidRPr="00CF3178">
        <w:rPr>
          <w:rtl/>
          <w:lang w:eastAsia="he-IL"/>
        </w:rPr>
        <w:t>קא</w:t>
      </w:r>
      <w:proofErr w:type="spellEnd"/>
      <w:r w:rsidRPr="00CF3178">
        <w:rPr>
          <w:rtl/>
          <w:lang w:eastAsia="he-IL"/>
        </w:rPr>
        <w:t xml:space="preserve"> אתי. </w:t>
      </w:r>
      <w:proofErr w:type="spellStart"/>
      <w:r w:rsidRPr="00CF3178">
        <w:rPr>
          <w:rtl/>
          <w:lang w:eastAsia="he-IL"/>
        </w:rPr>
        <w:t>ה"נ</w:t>
      </w:r>
      <w:proofErr w:type="spellEnd"/>
      <w:r w:rsidRPr="00CF3178">
        <w:rPr>
          <w:rtl/>
          <w:lang w:eastAsia="he-IL"/>
        </w:rPr>
        <w:t xml:space="preserve"> </w:t>
      </w:r>
      <w:proofErr w:type="spellStart"/>
      <w:r w:rsidRPr="00CF3178">
        <w:rPr>
          <w:rtl/>
          <w:lang w:eastAsia="he-IL"/>
        </w:rPr>
        <w:t>לטפויי</w:t>
      </w:r>
      <w:proofErr w:type="spellEnd"/>
      <w:r w:rsidRPr="00CF3178">
        <w:rPr>
          <w:rtl/>
          <w:lang w:eastAsia="he-IL"/>
        </w:rPr>
        <w:t xml:space="preserve"> מילתא </w:t>
      </w:r>
      <w:proofErr w:type="spellStart"/>
      <w:r w:rsidRPr="00CF3178">
        <w:rPr>
          <w:rtl/>
          <w:lang w:eastAsia="he-IL"/>
        </w:rPr>
        <w:t>קא</w:t>
      </w:r>
      <w:proofErr w:type="spellEnd"/>
      <w:r w:rsidRPr="00CF3178">
        <w:rPr>
          <w:rtl/>
          <w:lang w:eastAsia="he-IL"/>
        </w:rPr>
        <w:t xml:space="preserve"> אתי. ואם היה ממש בטענה זו איך אנו </w:t>
      </w:r>
      <w:proofErr w:type="spellStart"/>
      <w:r w:rsidRPr="00CF3178">
        <w:rPr>
          <w:rtl/>
          <w:lang w:eastAsia="he-IL"/>
        </w:rPr>
        <w:t>אומרין</w:t>
      </w:r>
      <w:proofErr w:type="spellEnd"/>
      <w:r w:rsidRPr="00CF3178">
        <w:rPr>
          <w:rtl/>
          <w:lang w:eastAsia="he-IL"/>
        </w:rPr>
        <w:t xml:space="preserve"> התם כיון דלא צריך </w:t>
      </w:r>
      <w:proofErr w:type="spellStart"/>
      <w:r w:rsidRPr="00CF3178">
        <w:rPr>
          <w:rtl/>
          <w:lang w:eastAsia="he-IL"/>
        </w:rPr>
        <w:t>וקאמר</w:t>
      </w:r>
      <w:proofErr w:type="spellEnd"/>
      <w:r w:rsidRPr="00CF3178">
        <w:rPr>
          <w:rtl/>
          <w:lang w:eastAsia="he-IL"/>
        </w:rPr>
        <w:t xml:space="preserve">, </w:t>
      </w:r>
      <w:proofErr w:type="spellStart"/>
      <w:r w:rsidRPr="00CF3178">
        <w:rPr>
          <w:rtl/>
          <w:lang w:eastAsia="he-IL"/>
        </w:rPr>
        <w:t>לטפויי</w:t>
      </w:r>
      <w:proofErr w:type="spellEnd"/>
      <w:r w:rsidRPr="00CF3178">
        <w:rPr>
          <w:rtl/>
          <w:lang w:eastAsia="he-IL"/>
        </w:rPr>
        <w:t xml:space="preserve"> מילתא </w:t>
      </w:r>
      <w:proofErr w:type="spellStart"/>
      <w:r w:rsidRPr="00CF3178">
        <w:rPr>
          <w:rtl/>
          <w:lang w:eastAsia="he-IL"/>
        </w:rPr>
        <w:t>קא</w:t>
      </w:r>
      <w:proofErr w:type="spellEnd"/>
      <w:r w:rsidRPr="00CF3178">
        <w:rPr>
          <w:rtl/>
          <w:lang w:eastAsia="he-IL"/>
        </w:rPr>
        <w:t xml:space="preserve"> אתי, </w:t>
      </w:r>
      <w:proofErr w:type="spellStart"/>
      <w:r w:rsidRPr="00CF3178">
        <w:rPr>
          <w:rtl/>
          <w:lang w:eastAsia="he-IL"/>
        </w:rPr>
        <w:t>נימא</w:t>
      </w:r>
      <w:proofErr w:type="spellEnd"/>
      <w:r w:rsidRPr="00CF3178">
        <w:rPr>
          <w:rtl/>
          <w:lang w:eastAsia="he-IL"/>
        </w:rPr>
        <w:t xml:space="preserve"> </w:t>
      </w:r>
      <w:proofErr w:type="spellStart"/>
      <w:r w:rsidRPr="00CF3178">
        <w:rPr>
          <w:rtl/>
          <w:lang w:eastAsia="he-IL"/>
        </w:rPr>
        <w:t>דהאי</w:t>
      </w:r>
      <w:proofErr w:type="spellEnd"/>
      <w:r w:rsidRPr="00CF3178">
        <w:rPr>
          <w:rtl/>
          <w:lang w:eastAsia="he-IL"/>
        </w:rPr>
        <w:t xml:space="preserve"> גברא לא </w:t>
      </w:r>
      <w:proofErr w:type="spellStart"/>
      <w:r w:rsidRPr="00CF3178">
        <w:rPr>
          <w:rtl/>
          <w:lang w:eastAsia="he-IL"/>
        </w:rPr>
        <w:t>גמיר</w:t>
      </w:r>
      <w:proofErr w:type="spellEnd"/>
      <w:r w:rsidRPr="00CF3178">
        <w:rPr>
          <w:rtl/>
          <w:lang w:eastAsia="he-IL"/>
        </w:rPr>
        <w:t xml:space="preserve"> והיה סבור שהמוכר את השדה מכר את הבור ואת הדות. </w:t>
      </w:r>
      <w:proofErr w:type="spellStart"/>
      <w:r w:rsidRPr="00CF3178">
        <w:rPr>
          <w:rtl/>
          <w:lang w:eastAsia="he-IL"/>
        </w:rPr>
        <w:t>כדאמרינן</w:t>
      </w:r>
      <w:proofErr w:type="spellEnd"/>
      <w:r w:rsidRPr="00CF3178">
        <w:rPr>
          <w:rtl/>
          <w:lang w:eastAsia="he-IL"/>
        </w:rPr>
        <w:t xml:space="preserve"> בנותן שנותן את כלן. ומשום הכי פירש חוץ מאלו, ולאו </w:t>
      </w:r>
      <w:proofErr w:type="spellStart"/>
      <w:r w:rsidRPr="00CF3178">
        <w:rPr>
          <w:rtl/>
          <w:lang w:eastAsia="he-IL"/>
        </w:rPr>
        <w:t>לטפויי</w:t>
      </w:r>
      <w:proofErr w:type="spellEnd"/>
      <w:r w:rsidRPr="00CF3178">
        <w:rPr>
          <w:rtl/>
          <w:lang w:eastAsia="he-IL"/>
        </w:rPr>
        <w:t xml:space="preserve"> מילתא </w:t>
      </w:r>
      <w:proofErr w:type="spellStart"/>
      <w:r w:rsidRPr="00CF3178">
        <w:rPr>
          <w:rtl/>
          <w:lang w:eastAsia="he-IL"/>
        </w:rPr>
        <w:t>קא</w:t>
      </w:r>
      <w:proofErr w:type="spellEnd"/>
      <w:r w:rsidRPr="00CF3178">
        <w:rPr>
          <w:rtl/>
          <w:lang w:eastAsia="he-IL"/>
        </w:rPr>
        <w:t xml:space="preserve"> אתי משום דרך</w:t>
      </w:r>
      <w:r w:rsidRPr="00CF3178">
        <w:rPr>
          <w:rFonts w:hint="cs"/>
          <w:rtl/>
          <w:lang w:eastAsia="he-IL"/>
        </w:rPr>
        <w:t>"</w:t>
      </w:r>
      <w:r>
        <w:rPr>
          <w:rFonts w:hint="cs"/>
          <w:rtl/>
          <w:lang w:eastAsia="he-IL"/>
        </w:rPr>
        <w:t>.</w:t>
      </w:r>
    </w:p>
    <w:p w14:paraId="29ACE241" w14:textId="77777777" w:rsidR="00BA19D6" w:rsidRDefault="00BA19D6" w:rsidP="00BA19D6">
      <w:pPr>
        <w:snapToGrid w:val="0"/>
        <w:spacing w:after="120" w:line="276" w:lineRule="auto"/>
        <w:ind w:firstLine="397"/>
        <w:rPr>
          <w:rtl/>
          <w:lang w:eastAsia="he-IL"/>
        </w:rPr>
      </w:pPr>
      <w:r>
        <w:rPr>
          <w:rFonts w:hint="cs"/>
          <w:rtl/>
          <w:lang w:eastAsia="he-IL"/>
        </w:rPr>
        <w:lastRenderedPageBreak/>
        <w:t>וכן פסק ה</w:t>
      </w:r>
      <w:r>
        <w:rPr>
          <w:rtl/>
          <w:lang w:eastAsia="he-IL"/>
        </w:rPr>
        <w:t xml:space="preserve">שולחן ערוך </w:t>
      </w:r>
      <w:r>
        <w:rPr>
          <w:rFonts w:hint="cs"/>
          <w:rtl/>
          <w:lang w:eastAsia="he-IL"/>
        </w:rPr>
        <w:t>ב</w:t>
      </w:r>
      <w:r>
        <w:rPr>
          <w:rtl/>
          <w:lang w:eastAsia="he-IL"/>
        </w:rPr>
        <w:t xml:space="preserve">חושן משפט סימן </w:t>
      </w:r>
      <w:proofErr w:type="spellStart"/>
      <w:r>
        <w:rPr>
          <w:rtl/>
          <w:lang w:eastAsia="he-IL"/>
        </w:rPr>
        <w:t>סא</w:t>
      </w:r>
      <w:proofErr w:type="spellEnd"/>
      <w:r>
        <w:rPr>
          <w:rtl/>
          <w:lang w:eastAsia="he-IL"/>
        </w:rPr>
        <w:t xml:space="preserve"> סעיף טו</w:t>
      </w:r>
      <w:r>
        <w:rPr>
          <w:rFonts w:hint="cs"/>
          <w:rtl/>
          <w:lang w:eastAsia="he-IL"/>
        </w:rPr>
        <w:t xml:space="preserve">: </w:t>
      </w:r>
    </w:p>
    <w:p w14:paraId="6870AA8F" w14:textId="77777777" w:rsidR="00BA19D6" w:rsidRPr="00CF3178" w:rsidRDefault="00BA19D6" w:rsidP="00BA19D6">
      <w:pPr>
        <w:pStyle w:val="aa"/>
        <w:rPr>
          <w:rtl/>
          <w:lang w:eastAsia="he-IL"/>
        </w:rPr>
      </w:pPr>
      <w:r w:rsidRPr="00CF3178">
        <w:rPr>
          <w:rFonts w:hint="cs"/>
          <w:rtl/>
          <w:lang w:eastAsia="he-IL"/>
        </w:rPr>
        <w:t>"</w:t>
      </w:r>
      <w:proofErr w:type="spellStart"/>
      <w:r w:rsidRPr="00CF3178">
        <w:rPr>
          <w:rtl/>
          <w:lang w:eastAsia="he-IL"/>
        </w:rPr>
        <w:t>מדקדקין</w:t>
      </w:r>
      <w:proofErr w:type="spellEnd"/>
      <w:r w:rsidRPr="00CF3178">
        <w:rPr>
          <w:rtl/>
          <w:lang w:eastAsia="he-IL"/>
        </w:rPr>
        <w:t xml:space="preserve"> לשון השטר </w:t>
      </w:r>
      <w:proofErr w:type="spellStart"/>
      <w:r w:rsidRPr="00CF3178">
        <w:rPr>
          <w:rtl/>
          <w:lang w:eastAsia="he-IL"/>
        </w:rPr>
        <w:t>ודנין</w:t>
      </w:r>
      <w:proofErr w:type="spellEnd"/>
      <w:r w:rsidRPr="00CF3178">
        <w:rPr>
          <w:rtl/>
          <w:lang w:eastAsia="he-IL"/>
        </w:rPr>
        <w:t xml:space="preserve"> על פי אותו דקדוק, ולא </w:t>
      </w:r>
      <w:proofErr w:type="spellStart"/>
      <w:r w:rsidRPr="00CF3178">
        <w:rPr>
          <w:rtl/>
          <w:lang w:eastAsia="he-IL"/>
        </w:rPr>
        <w:t>אמרינן</w:t>
      </w:r>
      <w:proofErr w:type="spellEnd"/>
      <w:r w:rsidRPr="00CF3178">
        <w:rPr>
          <w:rtl/>
          <w:lang w:eastAsia="he-IL"/>
        </w:rPr>
        <w:t xml:space="preserve"> האי גברא לא </w:t>
      </w:r>
      <w:proofErr w:type="spellStart"/>
      <w:r w:rsidRPr="00CF3178">
        <w:rPr>
          <w:rtl/>
          <w:lang w:eastAsia="he-IL"/>
        </w:rPr>
        <w:t>גמיר</w:t>
      </w:r>
      <w:proofErr w:type="spellEnd"/>
      <w:r w:rsidRPr="00CF3178">
        <w:rPr>
          <w:rtl/>
          <w:lang w:eastAsia="he-IL"/>
        </w:rPr>
        <w:t xml:space="preserve"> כולי האי והיה סבור שהדין היה </w:t>
      </w:r>
      <w:proofErr w:type="spellStart"/>
      <w:r w:rsidRPr="00CF3178">
        <w:rPr>
          <w:rtl/>
          <w:lang w:eastAsia="he-IL"/>
        </w:rPr>
        <w:t>בענין</w:t>
      </w:r>
      <w:proofErr w:type="spellEnd"/>
      <w:r w:rsidRPr="00CF3178">
        <w:rPr>
          <w:rtl/>
          <w:lang w:eastAsia="he-IL"/>
        </w:rPr>
        <w:t xml:space="preserve"> כך ומפני כך כתב אותו לשון.</w:t>
      </w:r>
      <w:r w:rsidRPr="00CF3178">
        <w:rPr>
          <w:rFonts w:hint="cs"/>
          <w:rtl/>
          <w:lang w:eastAsia="he-IL"/>
        </w:rPr>
        <w:t>"</w:t>
      </w:r>
    </w:p>
    <w:p w14:paraId="454C0CB6" w14:textId="77777777" w:rsidR="00BA19D6" w:rsidRDefault="00BA19D6" w:rsidP="00BA19D6">
      <w:pPr>
        <w:snapToGrid w:val="0"/>
        <w:spacing w:after="120" w:line="276" w:lineRule="auto"/>
        <w:ind w:firstLine="397"/>
        <w:rPr>
          <w:rtl/>
          <w:lang w:eastAsia="he-IL"/>
        </w:rPr>
      </w:pPr>
      <w:r>
        <w:rPr>
          <w:rFonts w:hint="cs"/>
          <w:rtl/>
          <w:lang w:eastAsia="he-IL"/>
        </w:rPr>
        <w:t xml:space="preserve">אמנם בתשובת </w:t>
      </w:r>
      <w:proofErr w:type="spellStart"/>
      <w:r>
        <w:rPr>
          <w:rFonts w:hint="cs"/>
          <w:rtl/>
          <w:lang w:eastAsia="he-IL"/>
        </w:rPr>
        <w:t>הרשב"א</w:t>
      </w:r>
      <w:proofErr w:type="spellEnd"/>
      <w:r>
        <w:rPr>
          <w:rFonts w:hint="cs"/>
          <w:rtl/>
          <w:lang w:eastAsia="he-IL"/>
        </w:rPr>
        <w:t xml:space="preserve"> מצינו שלא "לדרוש" מה שלא מפורש בשטר. עיין </w:t>
      </w:r>
      <w:r>
        <w:rPr>
          <w:rtl/>
          <w:lang w:eastAsia="he-IL"/>
        </w:rPr>
        <w:t xml:space="preserve">שו"ת </w:t>
      </w:r>
      <w:proofErr w:type="spellStart"/>
      <w:r>
        <w:rPr>
          <w:rtl/>
          <w:lang w:eastAsia="he-IL"/>
        </w:rPr>
        <w:t>הרשב"א</w:t>
      </w:r>
      <w:proofErr w:type="spellEnd"/>
      <w:r>
        <w:rPr>
          <w:rtl/>
          <w:lang w:eastAsia="he-IL"/>
        </w:rPr>
        <w:t xml:space="preserve"> חלק ב</w:t>
      </w:r>
      <w:r>
        <w:rPr>
          <w:rFonts w:hint="cs"/>
          <w:rtl/>
          <w:lang w:eastAsia="he-IL"/>
        </w:rPr>
        <w:t>'</w:t>
      </w:r>
      <w:r>
        <w:rPr>
          <w:rtl/>
          <w:lang w:eastAsia="he-IL"/>
        </w:rPr>
        <w:t xml:space="preserve"> סימן רע</w:t>
      </w:r>
      <w:r>
        <w:rPr>
          <w:rFonts w:hint="cs"/>
          <w:rtl/>
          <w:lang w:eastAsia="he-IL"/>
        </w:rPr>
        <w:t>:</w:t>
      </w:r>
    </w:p>
    <w:p w14:paraId="11907704" w14:textId="77777777" w:rsidR="00BA19D6" w:rsidRPr="00CF3178" w:rsidRDefault="00BA19D6" w:rsidP="00BA19D6">
      <w:pPr>
        <w:pStyle w:val="aa"/>
        <w:rPr>
          <w:rtl/>
          <w:lang w:eastAsia="he-IL"/>
        </w:rPr>
      </w:pPr>
      <w:r w:rsidRPr="00CF3178">
        <w:rPr>
          <w:rFonts w:hint="cs"/>
          <w:rtl/>
          <w:lang w:eastAsia="he-IL"/>
        </w:rPr>
        <w:t>"</w:t>
      </w:r>
      <w:r w:rsidRPr="00CF3178">
        <w:rPr>
          <w:rtl/>
          <w:lang w:eastAsia="he-IL"/>
        </w:rPr>
        <w:t xml:space="preserve">עוד שאלה באיזה ענין ראוי להשתמש </w:t>
      </w:r>
      <w:proofErr w:type="spellStart"/>
      <w:r w:rsidRPr="00CF3178">
        <w:rPr>
          <w:rtl/>
          <w:lang w:eastAsia="he-IL"/>
        </w:rPr>
        <w:t>במימרא</w:t>
      </w:r>
      <w:proofErr w:type="spellEnd"/>
      <w:r w:rsidRPr="00CF3178">
        <w:rPr>
          <w:rtl/>
          <w:lang w:eastAsia="he-IL"/>
        </w:rPr>
        <w:t xml:space="preserve"> </w:t>
      </w:r>
      <w:proofErr w:type="spellStart"/>
      <w:r w:rsidRPr="00CF3178">
        <w:rPr>
          <w:rtl/>
          <w:lang w:eastAsia="he-IL"/>
        </w:rPr>
        <w:t>דכל</w:t>
      </w:r>
      <w:proofErr w:type="spellEnd"/>
      <w:r w:rsidRPr="00CF3178">
        <w:rPr>
          <w:rtl/>
          <w:lang w:eastAsia="he-IL"/>
        </w:rPr>
        <w:t xml:space="preserve"> </w:t>
      </w:r>
      <w:proofErr w:type="spellStart"/>
      <w:r w:rsidRPr="00CF3178">
        <w:rPr>
          <w:rtl/>
          <w:lang w:eastAsia="he-IL"/>
        </w:rPr>
        <w:t>מלתא</w:t>
      </w:r>
      <w:proofErr w:type="spellEnd"/>
      <w:r w:rsidRPr="00CF3178">
        <w:rPr>
          <w:rtl/>
          <w:lang w:eastAsia="he-IL"/>
        </w:rPr>
        <w:t xml:space="preserve"> דלא צריך</w:t>
      </w:r>
      <w:r w:rsidRPr="00CF3178">
        <w:rPr>
          <w:rFonts w:hint="cs"/>
          <w:rtl/>
          <w:lang w:eastAsia="he-IL"/>
        </w:rPr>
        <w:t>,</w:t>
      </w:r>
      <w:r w:rsidRPr="00CF3178">
        <w:rPr>
          <w:rtl/>
          <w:lang w:eastAsia="he-IL"/>
        </w:rPr>
        <w:t xml:space="preserve"> </w:t>
      </w:r>
      <w:proofErr w:type="spellStart"/>
      <w:r w:rsidRPr="00CF3178">
        <w:rPr>
          <w:rtl/>
          <w:lang w:eastAsia="he-IL"/>
        </w:rPr>
        <w:t>לטפויי</w:t>
      </w:r>
      <w:proofErr w:type="spellEnd"/>
      <w:r w:rsidRPr="00CF3178">
        <w:rPr>
          <w:rtl/>
          <w:lang w:eastAsia="he-IL"/>
        </w:rPr>
        <w:t xml:space="preserve"> </w:t>
      </w:r>
      <w:proofErr w:type="spellStart"/>
      <w:r w:rsidRPr="00CF3178">
        <w:rPr>
          <w:rtl/>
          <w:lang w:eastAsia="he-IL"/>
        </w:rPr>
        <w:t>מלתא</w:t>
      </w:r>
      <w:proofErr w:type="spellEnd"/>
      <w:r w:rsidRPr="00CF3178">
        <w:rPr>
          <w:rtl/>
          <w:lang w:eastAsia="he-IL"/>
        </w:rPr>
        <w:t xml:space="preserve"> </w:t>
      </w:r>
      <w:proofErr w:type="spellStart"/>
      <w:r w:rsidRPr="00CF3178">
        <w:rPr>
          <w:rtl/>
          <w:lang w:eastAsia="he-IL"/>
        </w:rPr>
        <w:t>קאמר</w:t>
      </w:r>
      <w:proofErr w:type="spellEnd"/>
      <w:r w:rsidRPr="00CF3178">
        <w:rPr>
          <w:rtl/>
          <w:lang w:eastAsia="he-IL"/>
        </w:rPr>
        <w:t xml:space="preserve">, </w:t>
      </w:r>
    </w:p>
    <w:p w14:paraId="6E328035" w14:textId="77777777" w:rsidR="00BA19D6" w:rsidRPr="00CF3178" w:rsidRDefault="00BA19D6" w:rsidP="00BA19D6">
      <w:pPr>
        <w:pStyle w:val="aa"/>
        <w:rPr>
          <w:rtl/>
          <w:lang w:eastAsia="he-IL"/>
        </w:rPr>
      </w:pPr>
      <w:r w:rsidRPr="00CF3178">
        <w:rPr>
          <w:rtl/>
          <w:lang w:eastAsia="he-IL"/>
        </w:rPr>
        <w:t xml:space="preserve">תשובה בזה אין </w:t>
      </w:r>
      <w:proofErr w:type="spellStart"/>
      <w:r w:rsidRPr="00CF3178">
        <w:rPr>
          <w:rtl/>
          <w:lang w:eastAsia="he-IL"/>
        </w:rPr>
        <w:t>כח</w:t>
      </w:r>
      <w:proofErr w:type="spellEnd"/>
      <w:r w:rsidRPr="00CF3178">
        <w:rPr>
          <w:rtl/>
          <w:lang w:eastAsia="he-IL"/>
        </w:rPr>
        <w:t xml:space="preserve"> בידינו לדון בו בדמיונות אלא מקום שאמרו אמרו. במקום שלא אמרו לא ידענו מהו אין </w:t>
      </w:r>
      <w:proofErr w:type="spellStart"/>
      <w:r w:rsidRPr="00CF3178">
        <w:rPr>
          <w:rtl/>
          <w:lang w:eastAsia="he-IL"/>
        </w:rPr>
        <w:t>כח</w:t>
      </w:r>
      <w:proofErr w:type="spellEnd"/>
      <w:r w:rsidRPr="00CF3178">
        <w:rPr>
          <w:rtl/>
          <w:lang w:eastAsia="he-IL"/>
        </w:rPr>
        <w:t xml:space="preserve"> בידינו לדון בו.</w:t>
      </w:r>
      <w:r w:rsidRPr="00CF3178">
        <w:rPr>
          <w:rFonts w:hint="cs"/>
          <w:rtl/>
          <w:lang w:eastAsia="he-IL"/>
        </w:rPr>
        <w:t>"</w:t>
      </w:r>
    </w:p>
    <w:p w14:paraId="226D7475" w14:textId="77777777" w:rsidR="00BA19D6" w:rsidRDefault="00BA19D6" w:rsidP="00BA19D6">
      <w:pPr>
        <w:snapToGrid w:val="0"/>
        <w:spacing w:after="120" w:line="276" w:lineRule="auto"/>
        <w:ind w:firstLine="397"/>
        <w:rPr>
          <w:rtl/>
          <w:lang w:eastAsia="he-IL"/>
        </w:rPr>
      </w:pPr>
      <w:r w:rsidRPr="007C1D3D">
        <w:rPr>
          <w:rFonts w:hint="cs"/>
          <w:rtl/>
          <w:lang w:eastAsia="he-IL"/>
        </w:rPr>
        <w:t>ודבריו ב</w:t>
      </w:r>
      <w:r>
        <w:rPr>
          <w:rFonts w:hint="cs"/>
          <w:rtl/>
          <w:lang w:eastAsia="he-IL"/>
        </w:rPr>
        <w:t>ת</w:t>
      </w:r>
      <w:r w:rsidRPr="007C1D3D">
        <w:rPr>
          <w:rFonts w:hint="cs"/>
          <w:rtl/>
          <w:lang w:eastAsia="he-IL"/>
        </w:rPr>
        <w:t xml:space="preserve">שובה זו נראים כסותרים לדברי עצמו בתשובה </w:t>
      </w:r>
      <w:r>
        <w:rPr>
          <w:rFonts w:hint="cs"/>
          <w:rtl/>
          <w:lang w:eastAsia="he-IL"/>
        </w:rPr>
        <w:t xml:space="preserve">חלק ג' סימן לו. ועיין שו"ת </w:t>
      </w:r>
      <w:proofErr w:type="spellStart"/>
      <w:r>
        <w:rPr>
          <w:rFonts w:hint="cs"/>
          <w:rtl/>
          <w:lang w:eastAsia="he-IL"/>
        </w:rPr>
        <w:t>הרדב"ז</w:t>
      </w:r>
      <w:proofErr w:type="spellEnd"/>
      <w:r>
        <w:rPr>
          <w:rFonts w:hint="cs"/>
          <w:rtl/>
          <w:lang w:eastAsia="he-IL"/>
        </w:rPr>
        <w:t xml:space="preserve"> חלק א' סימן פ"ז שחילק בשם חידושי </w:t>
      </w:r>
      <w:proofErr w:type="spellStart"/>
      <w:r>
        <w:rPr>
          <w:rFonts w:hint="cs"/>
          <w:rtl/>
          <w:lang w:eastAsia="he-IL"/>
        </w:rPr>
        <w:t>הר"ן</w:t>
      </w:r>
      <w:proofErr w:type="spellEnd"/>
      <w:r>
        <w:rPr>
          <w:rFonts w:hint="cs"/>
          <w:rtl/>
          <w:lang w:eastAsia="he-IL"/>
        </w:rPr>
        <w:t xml:space="preserve"> בין להחזיק ממון או להוציא ממון. וזה לשון השאלה והתשובה שם </w:t>
      </w:r>
      <w:r>
        <w:rPr>
          <w:rtl/>
          <w:lang w:eastAsia="he-IL"/>
        </w:rPr>
        <w:t>–</w:t>
      </w:r>
      <w:r>
        <w:rPr>
          <w:rFonts w:hint="cs"/>
          <w:rtl/>
          <w:lang w:eastAsia="he-IL"/>
        </w:rPr>
        <w:t xml:space="preserve"> </w:t>
      </w:r>
    </w:p>
    <w:p w14:paraId="5C196214" w14:textId="77777777" w:rsidR="00BA19D6" w:rsidRPr="00CF3178" w:rsidRDefault="00BA19D6" w:rsidP="00BA19D6">
      <w:pPr>
        <w:pStyle w:val="aa"/>
        <w:rPr>
          <w:i w:val="0"/>
          <w:rtl/>
          <w:lang w:eastAsia="he-IL"/>
        </w:rPr>
      </w:pPr>
      <w:r>
        <w:rPr>
          <w:rFonts w:hint="cs"/>
          <w:rtl/>
          <w:lang w:eastAsia="he-IL"/>
        </w:rPr>
        <w:t>"</w:t>
      </w:r>
      <w:r w:rsidRPr="00CF3178">
        <w:rPr>
          <w:rtl/>
          <w:lang w:eastAsia="he-IL"/>
        </w:rPr>
        <w:t xml:space="preserve">שאלת ממני אודיעך דעתי </w:t>
      </w:r>
      <w:proofErr w:type="spellStart"/>
      <w:r w:rsidRPr="00CF3178">
        <w:rPr>
          <w:rtl/>
          <w:lang w:eastAsia="he-IL"/>
        </w:rPr>
        <w:t>דבמקצת</w:t>
      </w:r>
      <w:proofErr w:type="spellEnd"/>
      <w:r w:rsidRPr="00CF3178">
        <w:rPr>
          <w:rtl/>
          <w:lang w:eastAsia="he-IL"/>
        </w:rPr>
        <w:t xml:space="preserve"> מקומות </w:t>
      </w:r>
      <w:proofErr w:type="spellStart"/>
      <w:r w:rsidRPr="00CF3178">
        <w:rPr>
          <w:rtl/>
          <w:lang w:eastAsia="he-IL"/>
        </w:rPr>
        <w:t>אמרינן</w:t>
      </w:r>
      <w:proofErr w:type="spellEnd"/>
      <w:r w:rsidRPr="00CF3178">
        <w:rPr>
          <w:rtl/>
          <w:lang w:eastAsia="he-IL"/>
        </w:rPr>
        <w:t xml:space="preserve"> כל  לישנא </w:t>
      </w:r>
      <w:proofErr w:type="spellStart"/>
      <w:r w:rsidRPr="00CF3178">
        <w:rPr>
          <w:rtl/>
          <w:lang w:eastAsia="he-IL"/>
        </w:rPr>
        <w:t>יתירא</w:t>
      </w:r>
      <w:proofErr w:type="spellEnd"/>
      <w:r w:rsidRPr="00CF3178">
        <w:rPr>
          <w:rtl/>
          <w:lang w:eastAsia="he-IL"/>
        </w:rPr>
        <w:t xml:space="preserve"> </w:t>
      </w:r>
      <w:proofErr w:type="spellStart"/>
      <w:r w:rsidRPr="00CF3178">
        <w:rPr>
          <w:rtl/>
          <w:lang w:eastAsia="he-IL"/>
        </w:rPr>
        <w:t>לטפויי</w:t>
      </w:r>
      <w:proofErr w:type="spellEnd"/>
      <w:r w:rsidRPr="00CF3178">
        <w:rPr>
          <w:rtl/>
          <w:lang w:eastAsia="he-IL"/>
        </w:rPr>
        <w:t xml:space="preserve"> אתא ובמקצת מקומות </w:t>
      </w:r>
      <w:proofErr w:type="spellStart"/>
      <w:r w:rsidRPr="00CF3178">
        <w:rPr>
          <w:rtl/>
          <w:lang w:eastAsia="he-IL"/>
        </w:rPr>
        <w:t>אמרינן</w:t>
      </w:r>
      <w:proofErr w:type="spellEnd"/>
      <w:r w:rsidRPr="00CF3178">
        <w:rPr>
          <w:rtl/>
          <w:lang w:eastAsia="he-IL"/>
        </w:rPr>
        <w:t xml:space="preserve"> לישנא </w:t>
      </w:r>
      <w:proofErr w:type="spellStart"/>
      <w:r w:rsidRPr="00CF3178">
        <w:rPr>
          <w:rtl/>
          <w:lang w:eastAsia="he-IL"/>
        </w:rPr>
        <w:t>יתירא</w:t>
      </w:r>
      <w:proofErr w:type="spellEnd"/>
      <w:r w:rsidRPr="00CF3178">
        <w:rPr>
          <w:rtl/>
          <w:lang w:eastAsia="he-IL"/>
        </w:rPr>
        <w:t xml:space="preserve"> משום שופרא </w:t>
      </w:r>
      <w:proofErr w:type="spellStart"/>
      <w:r w:rsidRPr="00CF3178">
        <w:rPr>
          <w:rtl/>
          <w:lang w:eastAsia="he-IL"/>
        </w:rPr>
        <w:t>דשטרא</w:t>
      </w:r>
      <w:proofErr w:type="spellEnd"/>
      <w:r w:rsidRPr="00CF3178">
        <w:rPr>
          <w:rtl/>
          <w:lang w:eastAsia="he-IL"/>
        </w:rPr>
        <w:t xml:space="preserve"> </w:t>
      </w:r>
    </w:p>
    <w:p w14:paraId="54D46E3C" w14:textId="77777777" w:rsidR="00BA19D6" w:rsidRPr="00CF3178" w:rsidRDefault="00BA19D6" w:rsidP="00BA19D6">
      <w:pPr>
        <w:pStyle w:val="aa"/>
        <w:rPr>
          <w:rtl/>
          <w:lang w:eastAsia="he-IL"/>
        </w:rPr>
      </w:pPr>
      <w:r w:rsidRPr="00CF3178">
        <w:rPr>
          <w:rtl/>
          <w:lang w:eastAsia="he-IL"/>
        </w:rPr>
        <w:t xml:space="preserve">תשובה </w:t>
      </w:r>
      <w:proofErr w:type="spellStart"/>
      <w:r w:rsidRPr="00CF3178">
        <w:rPr>
          <w:rtl/>
          <w:lang w:eastAsia="he-IL"/>
        </w:rPr>
        <w:t>הר"ן</w:t>
      </w:r>
      <w:proofErr w:type="spellEnd"/>
      <w:r w:rsidRPr="00CF3178">
        <w:rPr>
          <w:rtl/>
          <w:lang w:eastAsia="he-IL"/>
        </w:rPr>
        <w:t xml:space="preserve"> ז"ל תירץ קושיא זו </w:t>
      </w:r>
      <w:proofErr w:type="spellStart"/>
      <w:r w:rsidRPr="00CF3178">
        <w:rPr>
          <w:rtl/>
          <w:lang w:eastAsia="he-IL"/>
        </w:rPr>
        <w:t>בחדושיו</w:t>
      </w:r>
      <w:proofErr w:type="spellEnd"/>
      <w:r w:rsidRPr="00CF3178">
        <w:rPr>
          <w:rtl/>
          <w:lang w:eastAsia="he-IL"/>
        </w:rPr>
        <w:t xml:space="preserve"> וז"ל כי </w:t>
      </w:r>
      <w:proofErr w:type="spellStart"/>
      <w:r w:rsidRPr="00CF3178">
        <w:rPr>
          <w:rtl/>
          <w:lang w:eastAsia="he-IL"/>
        </w:rPr>
        <w:t>אמרינן</w:t>
      </w:r>
      <w:proofErr w:type="spellEnd"/>
      <w:r w:rsidRPr="00CF3178">
        <w:rPr>
          <w:rtl/>
          <w:lang w:eastAsia="he-IL"/>
        </w:rPr>
        <w:t xml:space="preserve"> לישנא </w:t>
      </w:r>
      <w:proofErr w:type="spellStart"/>
      <w:r w:rsidRPr="00CF3178">
        <w:rPr>
          <w:rtl/>
          <w:lang w:eastAsia="he-IL"/>
        </w:rPr>
        <w:t>יתירא</w:t>
      </w:r>
      <w:proofErr w:type="spellEnd"/>
      <w:r w:rsidRPr="00CF3178">
        <w:rPr>
          <w:rtl/>
          <w:lang w:eastAsia="he-IL"/>
        </w:rPr>
        <w:t xml:space="preserve"> שופרא </w:t>
      </w:r>
      <w:proofErr w:type="spellStart"/>
      <w:r w:rsidRPr="00CF3178">
        <w:rPr>
          <w:rtl/>
          <w:lang w:eastAsia="he-IL"/>
        </w:rPr>
        <w:t>דשטרא</w:t>
      </w:r>
      <w:proofErr w:type="spellEnd"/>
      <w:r w:rsidRPr="00CF3178">
        <w:rPr>
          <w:rtl/>
          <w:lang w:eastAsia="he-IL"/>
        </w:rPr>
        <w:t xml:space="preserve"> הוא ה"מ גבי לוקח </w:t>
      </w:r>
      <w:proofErr w:type="spellStart"/>
      <w:r w:rsidRPr="00CF3178">
        <w:rPr>
          <w:rtl/>
          <w:lang w:eastAsia="he-IL"/>
        </w:rPr>
        <w:t>דאתי</w:t>
      </w:r>
      <w:proofErr w:type="spellEnd"/>
      <w:r w:rsidRPr="00CF3178">
        <w:rPr>
          <w:rtl/>
          <w:lang w:eastAsia="he-IL"/>
        </w:rPr>
        <w:t xml:space="preserve"> </w:t>
      </w:r>
      <w:proofErr w:type="spellStart"/>
      <w:r w:rsidRPr="00CF3178">
        <w:rPr>
          <w:rtl/>
          <w:lang w:eastAsia="he-IL"/>
        </w:rPr>
        <w:t>לאפוקי</w:t>
      </w:r>
      <w:proofErr w:type="spellEnd"/>
      <w:r w:rsidRPr="00CF3178">
        <w:rPr>
          <w:rtl/>
          <w:lang w:eastAsia="he-IL"/>
        </w:rPr>
        <w:t xml:space="preserve"> מחזקת </w:t>
      </w:r>
      <w:proofErr w:type="spellStart"/>
      <w:r w:rsidRPr="00CF3178">
        <w:rPr>
          <w:rtl/>
          <w:lang w:eastAsia="he-IL"/>
        </w:rPr>
        <w:t>דמוכר</w:t>
      </w:r>
      <w:proofErr w:type="spellEnd"/>
      <w:r>
        <w:rPr>
          <w:rFonts w:hint="cs"/>
          <w:rtl/>
          <w:lang w:eastAsia="he-IL"/>
        </w:rPr>
        <w:t>,</w:t>
      </w:r>
      <w:r w:rsidRPr="00CF3178">
        <w:rPr>
          <w:rtl/>
          <w:lang w:eastAsia="he-IL"/>
        </w:rPr>
        <w:t xml:space="preserve"> אף על גב דלא צריך לפרושי </w:t>
      </w:r>
      <w:proofErr w:type="spellStart"/>
      <w:r w:rsidRPr="00CF3178">
        <w:rPr>
          <w:rtl/>
          <w:lang w:eastAsia="he-IL"/>
        </w:rPr>
        <w:t>קא</w:t>
      </w:r>
      <w:proofErr w:type="spellEnd"/>
      <w:r w:rsidRPr="00CF3178">
        <w:rPr>
          <w:rtl/>
          <w:lang w:eastAsia="he-IL"/>
        </w:rPr>
        <w:t xml:space="preserve"> מפרש </w:t>
      </w:r>
      <w:proofErr w:type="spellStart"/>
      <w:r w:rsidRPr="00CF3178">
        <w:rPr>
          <w:rtl/>
          <w:lang w:eastAsia="he-IL"/>
        </w:rPr>
        <w:t>בהדיא</w:t>
      </w:r>
      <w:proofErr w:type="spellEnd"/>
      <w:r>
        <w:rPr>
          <w:rFonts w:hint="cs"/>
          <w:rtl/>
          <w:lang w:eastAsia="he-IL"/>
        </w:rPr>
        <w:t>,</w:t>
      </w:r>
      <w:r w:rsidRPr="00CF3178">
        <w:rPr>
          <w:rtl/>
          <w:lang w:eastAsia="he-IL"/>
        </w:rPr>
        <w:t xml:space="preserve"> לפי שהוא חושש שאפילו יסתפקו ב"ד בדבר יעמידו בחזקת מוכר </w:t>
      </w:r>
      <w:proofErr w:type="spellStart"/>
      <w:r w:rsidRPr="00CF3178">
        <w:rPr>
          <w:rtl/>
          <w:lang w:eastAsia="he-IL"/>
        </w:rPr>
        <w:t>וחייש</w:t>
      </w:r>
      <w:proofErr w:type="spellEnd"/>
      <w:r w:rsidRPr="00CF3178">
        <w:rPr>
          <w:rtl/>
          <w:lang w:eastAsia="he-IL"/>
        </w:rPr>
        <w:t xml:space="preserve"> </w:t>
      </w:r>
      <w:proofErr w:type="spellStart"/>
      <w:r w:rsidRPr="00CF3178">
        <w:rPr>
          <w:rtl/>
          <w:lang w:eastAsia="he-IL"/>
        </w:rPr>
        <w:t>לב"ד</w:t>
      </w:r>
      <w:proofErr w:type="spellEnd"/>
      <w:r w:rsidRPr="00CF3178">
        <w:rPr>
          <w:rtl/>
          <w:lang w:eastAsia="he-IL"/>
        </w:rPr>
        <w:t xml:space="preserve"> דלא </w:t>
      </w:r>
      <w:proofErr w:type="spellStart"/>
      <w:r w:rsidRPr="00CF3178">
        <w:rPr>
          <w:rtl/>
          <w:lang w:eastAsia="he-IL"/>
        </w:rPr>
        <w:t>גמירי</w:t>
      </w:r>
      <w:proofErr w:type="spellEnd"/>
      <w:r w:rsidRPr="00CF3178">
        <w:rPr>
          <w:rFonts w:hint="cs"/>
          <w:rtl/>
          <w:lang w:eastAsia="he-IL"/>
        </w:rPr>
        <w:t>.</w:t>
      </w:r>
      <w:r w:rsidRPr="00CF3178">
        <w:rPr>
          <w:rtl/>
          <w:lang w:eastAsia="he-IL"/>
        </w:rPr>
        <w:t xml:space="preserve"> אבל מוכר שהוא מוחזק למאי </w:t>
      </w:r>
      <w:proofErr w:type="spellStart"/>
      <w:r w:rsidRPr="00CF3178">
        <w:rPr>
          <w:rtl/>
          <w:lang w:eastAsia="he-IL"/>
        </w:rPr>
        <w:t>חייש</w:t>
      </w:r>
      <w:proofErr w:type="spellEnd"/>
      <w:r>
        <w:rPr>
          <w:rFonts w:hint="cs"/>
          <w:rtl/>
          <w:lang w:eastAsia="he-IL"/>
        </w:rPr>
        <w:t>,</w:t>
      </w:r>
      <w:r w:rsidRPr="00CF3178">
        <w:rPr>
          <w:rtl/>
          <w:lang w:eastAsia="he-IL"/>
        </w:rPr>
        <w:t xml:space="preserve"> הרי אין הדבר מצוי שיהיו ב"ד </w:t>
      </w:r>
      <w:proofErr w:type="spellStart"/>
      <w:r w:rsidRPr="00CF3178">
        <w:rPr>
          <w:rtl/>
          <w:lang w:eastAsia="he-IL"/>
        </w:rPr>
        <w:t>טועין</w:t>
      </w:r>
      <w:proofErr w:type="spellEnd"/>
      <w:r w:rsidRPr="00CF3178">
        <w:rPr>
          <w:rtl/>
          <w:lang w:eastAsia="he-IL"/>
        </w:rPr>
        <w:t xml:space="preserve"> כל כך שיוציאו הדבר מחזקתו שלא כדין</w:t>
      </w:r>
      <w:r>
        <w:rPr>
          <w:rFonts w:hint="cs"/>
          <w:rtl/>
          <w:lang w:eastAsia="he-IL"/>
        </w:rPr>
        <w:t>,</w:t>
      </w:r>
      <w:r w:rsidRPr="00CF3178">
        <w:rPr>
          <w:rtl/>
          <w:lang w:eastAsia="he-IL"/>
        </w:rPr>
        <w:t xml:space="preserve"> והיינו </w:t>
      </w:r>
      <w:proofErr w:type="spellStart"/>
      <w:r w:rsidRPr="00CF3178">
        <w:rPr>
          <w:rtl/>
          <w:lang w:eastAsia="he-IL"/>
        </w:rPr>
        <w:t>דכל</w:t>
      </w:r>
      <w:proofErr w:type="spellEnd"/>
      <w:r w:rsidRPr="00CF3178">
        <w:rPr>
          <w:rtl/>
          <w:lang w:eastAsia="he-IL"/>
        </w:rPr>
        <w:t xml:space="preserve"> </w:t>
      </w:r>
      <w:proofErr w:type="spellStart"/>
      <w:r w:rsidRPr="00CF3178">
        <w:rPr>
          <w:rtl/>
          <w:lang w:eastAsia="he-IL"/>
        </w:rPr>
        <w:t>לישנ</w:t>
      </w:r>
      <w:proofErr w:type="spellEnd"/>
      <w:r w:rsidRPr="00CF3178">
        <w:rPr>
          <w:rtl/>
          <w:lang w:eastAsia="he-IL"/>
        </w:rPr>
        <w:t xml:space="preserve">' יתיר' </w:t>
      </w:r>
      <w:proofErr w:type="spellStart"/>
      <w:r w:rsidRPr="00CF3178">
        <w:rPr>
          <w:rtl/>
          <w:lang w:eastAsia="he-IL"/>
        </w:rPr>
        <w:t>דפרקין</w:t>
      </w:r>
      <w:proofErr w:type="spellEnd"/>
      <w:r w:rsidRPr="00CF3178">
        <w:rPr>
          <w:rtl/>
          <w:lang w:eastAsia="he-IL"/>
        </w:rPr>
        <w:t xml:space="preserve"> </w:t>
      </w:r>
      <w:proofErr w:type="spellStart"/>
      <w:r w:rsidRPr="00CF3178">
        <w:rPr>
          <w:rtl/>
          <w:lang w:eastAsia="he-IL"/>
        </w:rPr>
        <w:t>דאמרינן</w:t>
      </w:r>
      <w:proofErr w:type="spellEnd"/>
      <w:r w:rsidRPr="00CF3178">
        <w:rPr>
          <w:rtl/>
          <w:lang w:eastAsia="he-IL"/>
        </w:rPr>
        <w:t xml:space="preserve"> </w:t>
      </w:r>
      <w:proofErr w:type="spellStart"/>
      <w:r w:rsidRPr="00CF3178">
        <w:rPr>
          <w:rtl/>
          <w:lang w:eastAsia="he-IL"/>
        </w:rPr>
        <w:t>לטפויי</w:t>
      </w:r>
      <w:proofErr w:type="spellEnd"/>
      <w:r w:rsidRPr="00CF3178">
        <w:rPr>
          <w:rtl/>
          <w:lang w:eastAsia="he-IL"/>
        </w:rPr>
        <w:t xml:space="preserve"> אתו </w:t>
      </w:r>
      <w:proofErr w:type="spellStart"/>
      <w:r w:rsidRPr="00CF3178">
        <w:rPr>
          <w:rtl/>
          <w:lang w:eastAsia="he-IL"/>
        </w:rPr>
        <w:t>נקיטינן</w:t>
      </w:r>
      <w:proofErr w:type="spellEnd"/>
      <w:r w:rsidRPr="00CF3178">
        <w:rPr>
          <w:rtl/>
          <w:lang w:eastAsia="he-IL"/>
        </w:rPr>
        <w:t xml:space="preserve"> להו גבי מוכר</w:t>
      </w:r>
      <w:r>
        <w:rPr>
          <w:rFonts w:hint="cs"/>
          <w:rtl/>
          <w:lang w:eastAsia="he-IL"/>
        </w:rPr>
        <w:t>,</w:t>
      </w:r>
      <w:r w:rsidRPr="00CF3178">
        <w:rPr>
          <w:rtl/>
          <w:lang w:eastAsia="he-IL"/>
        </w:rPr>
        <w:t xml:space="preserve"> וזהו כלל גדול </w:t>
      </w:r>
      <w:proofErr w:type="spellStart"/>
      <w:r w:rsidRPr="00CF3178">
        <w:rPr>
          <w:rtl/>
          <w:lang w:eastAsia="he-IL"/>
        </w:rPr>
        <w:t>בדינין</w:t>
      </w:r>
      <w:proofErr w:type="spellEnd"/>
      <w:r w:rsidRPr="00CF3178">
        <w:rPr>
          <w:rtl/>
          <w:lang w:eastAsia="he-IL"/>
        </w:rPr>
        <w:t xml:space="preserve"> הללו</w:t>
      </w:r>
      <w:r>
        <w:rPr>
          <w:rFonts w:hint="cs"/>
          <w:rtl/>
          <w:lang w:eastAsia="he-IL"/>
        </w:rPr>
        <w:t>,</w:t>
      </w:r>
      <w:r w:rsidRPr="00CF3178">
        <w:rPr>
          <w:rtl/>
          <w:lang w:eastAsia="he-IL"/>
        </w:rPr>
        <w:t xml:space="preserve"> </w:t>
      </w:r>
      <w:proofErr w:type="spellStart"/>
      <w:r w:rsidRPr="00CF3178">
        <w:rPr>
          <w:rtl/>
          <w:lang w:eastAsia="he-IL"/>
        </w:rPr>
        <w:t>דכל</w:t>
      </w:r>
      <w:proofErr w:type="spellEnd"/>
      <w:r w:rsidRPr="00CF3178">
        <w:rPr>
          <w:rtl/>
          <w:lang w:eastAsia="he-IL"/>
        </w:rPr>
        <w:t xml:space="preserve"> לישנא </w:t>
      </w:r>
      <w:proofErr w:type="spellStart"/>
      <w:r w:rsidRPr="00CF3178">
        <w:rPr>
          <w:rtl/>
          <w:lang w:eastAsia="he-IL"/>
        </w:rPr>
        <w:t>יתירא</w:t>
      </w:r>
      <w:proofErr w:type="spellEnd"/>
      <w:r w:rsidRPr="00CF3178">
        <w:rPr>
          <w:rtl/>
          <w:lang w:eastAsia="he-IL"/>
        </w:rPr>
        <w:t xml:space="preserve"> </w:t>
      </w:r>
      <w:proofErr w:type="spellStart"/>
      <w:r w:rsidRPr="00CF3178">
        <w:rPr>
          <w:rtl/>
          <w:lang w:eastAsia="he-IL"/>
        </w:rPr>
        <w:t>דאמר</w:t>
      </w:r>
      <w:proofErr w:type="spellEnd"/>
      <w:r w:rsidRPr="00CF3178">
        <w:rPr>
          <w:rtl/>
          <w:lang w:eastAsia="he-IL"/>
        </w:rPr>
        <w:t xml:space="preserve"> ליה מוכר דלא צריך </w:t>
      </w:r>
      <w:proofErr w:type="spellStart"/>
      <w:r w:rsidRPr="00CF3178">
        <w:rPr>
          <w:rtl/>
          <w:lang w:eastAsia="he-IL"/>
        </w:rPr>
        <w:t>לטפויי</w:t>
      </w:r>
      <w:proofErr w:type="spellEnd"/>
      <w:r w:rsidRPr="00CF3178">
        <w:rPr>
          <w:rtl/>
          <w:lang w:eastAsia="he-IL"/>
        </w:rPr>
        <w:t xml:space="preserve"> </w:t>
      </w:r>
      <w:proofErr w:type="spellStart"/>
      <w:r w:rsidRPr="00CF3178">
        <w:rPr>
          <w:rtl/>
          <w:lang w:eastAsia="he-IL"/>
        </w:rPr>
        <w:t>קא</w:t>
      </w:r>
      <w:proofErr w:type="spellEnd"/>
      <w:r w:rsidRPr="00CF3178">
        <w:rPr>
          <w:rtl/>
          <w:lang w:eastAsia="he-IL"/>
        </w:rPr>
        <w:t xml:space="preserve"> אתי</w:t>
      </w:r>
      <w:r>
        <w:rPr>
          <w:rFonts w:hint="cs"/>
          <w:rtl/>
          <w:lang w:eastAsia="he-IL"/>
        </w:rPr>
        <w:t>,</w:t>
      </w:r>
      <w:r w:rsidRPr="00CF3178">
        <w:rPr>
          <w:rtl/>
          <w:lang w:eastAsia="he-IL"/>
        </w:rPr>
        <w:t xml:space="preserve"> אבל כי אמר ליה לוקח לשופרא </w:t>
      </w:r>
      <w:proofErr w:type="spellStart"/>
      <w:r w:rsidRPr="00CF3178">
        <w:rPr>
          <w:rtl/>
          <w:lang w:eastAsia="he-IL"/>
        </w:rPr>
        <w:t>דשטרא</w:t>
      </w:r>
      <w:proofErr w:type="spellEnd"/>
      <w:r w:rsidRPr="00CF3178">
        <w:rPr>
          <w:rtl/>
          <w:lang w:eastAsia="he-IL"/>
        </w:rPr>
        <w:t xml:space="preserve"> בעלמא הוא </w:t>
      </w:r>
      <w:proofErr w:type="spellStart"/>
      <w:r w:rsidRPr="00CF3178">
        <w:rPr>
          <w:rtl/>
          <w:lang w:eastAsia="he-IL"/>
        </w:rPr>
        <w:t>דאיכוון</w:t>
      </w:r>
      <w:proofErr w:type="spellEnd"/>
      <w:r w:rsidRPr="00CF3178">
        <w:rPr>
          <w:rtl/>
          <w:lang w:eastAsia="he-IL"/>
        </w:rPr>
        <w:t xml:space="preserve"> עכ"ל</w:t>
      </w:r>
      <w:r>
        <w:rPr>
          <w:rFonts w:hint="cs"/>
          <w:rtl/>
          <w:lang w:eastAsia="he-IL"/>
        </w:rPr>
        <w:t>,</w:t>
      </w:r>
      <w:r w:rsidRPr="00CF3178">
        <w:rPr>
          <w:rtl/>
          <w:lang w:eastAsia="he-IL"/>
        </w:rPr>
        <w:t xml:space="preserve"> וזה הכלל נכון הוא</w:t>
      </w:r>
      <w:r w:rsidRPr="00CF3178">
        <w:rPr>
          <w:rFonts w:hint="cs"/>
          <w:rtl/>
          <w:lang w:eastAsia="he-IL"/>
        </w:rPr>
        <w:t>.</w:t>
      </w:r>
    </w:p>
    <w:p w14:paraId="7495CCE2" w14:textId="77777777" w:rsidR="00BA19D6" w:rsidRPr="00CF3178" w:rsidRDefault="00BA19D6" w:rsidP="00BA19D6">
      <w:pPr>
        <w:pStyle w:val="aa"/>
        <w:rPr>
          <w:rtl/>
          <w:lang w:eastAsia="he-IL"/>
        </w:rPr>
      </w:pPr>
      <w:r w:rsidRPr="00CF3178">
        <w:rPr>
          <w:rtl/>
          <w:lang w:eastAsia="he-IL"/>
        </w:rPr>
        <w:t xml:space="preserve">ונ"ל </w:t>
      </w:r>
      <w:proofErr w:type="spellStart"/>
      <w:r w:rsidRPr="00CF3178">
        <w:rPr>
          <w:rtl/>
          <w:lang w:eastAsia="he-IL"/>
        </w:rPr>
        <w:t>דכל</w:t>
      </w:r>
      <w:proofErr w:type="spellEnd"/>
      <w:r w:rsidRPr="00CF3178">
        <w:rPr>
          <w:rtl/>
          <w:lang w:eastAsia="he-IL"/>
        </w:rPr>
        <w:t xml:space="preserve"> </w:t>
      </w:r>
      <w:proofErr w:type="spellStart"/>
      <w:r w:rsidRPr="00CF3178">
        <w:rPr>
          <w:rtl/>
          <w:lang w:eastAsia="he-IL"/>
        </w:rPr>
        <w:t>היכא</w:t>
      </w:r>
      <w:proofErr w:type="spellEnd"/>
      <w:r w:rsidRPr="00CF3178">
        <w:rPr>
          <w:rtl/>
          <w:lang w:eastAsia="he-IL"/>
        </w:rPr>
        <w:t xml:space="preserve"> </w:t>
      </w:r>
      <w:proofErr w:type="spellStart"/>
      <w:r w:rsidRPr="00CF3178">
        <w:rPr>
          <w:rtl/>
          <w:lang w:eastAsia="he-IL"/>
        </w:rPr>
        <w:t>דאיכא</w:t>
      </w:r>
      <w:proofErr w:type="spellEnd"/>
      <w:r w:rsidRPr="00CF3178">
        <w:rPr>
          <w:rtl/>
          <w:lang w:eastAsia="he-IL"/>
        </w:rPr>
        <w:t xml:space="preserve"> </w:t>
      </w:r>
      <w:proofErr w:type="spellStart"/>
      <w:r w:rsidRPr="00CF3178">
        <w:rPr>
          <w:rtl/>
          <w:lang w:eastAsia="he-IL"/>
        </w:rPr>
        <w:t>למימר</w:t>
      </w:r>
      <w:proofErr w:type="spellEnd"/>
      <w:r w:rsidRPr="00CF3178">
        <w:rPr>
          <w:rtl/>
          <w:lang w:eastAsia="he-IL"/>
        </w:rPr>
        <w:t xml:space="preserve"> </w:t>
      </w:r>
      <w:proofErr w:type="spellStart"/>
      <w:r w:rsidRPr="00CF3178">
        <w:rPr>
          <w:rtl/>
          <w:lang w:eastAsia="he-IL"/>
        </w:rPr>
        <w:t>לטפויי</w:t>
      </w:r>
      <w:proofErr w:type="spellEnd"/>
      <w:r w:rsidRPr="00CF3178">
        <w:rPr>
          <w:rtl/>
          <w:lang w:eastAsia="he-IL"/>
        </w:rPr>
        <w:t xml:space="preserve"> </w:t>
      </w:r>
      <w:proofErr w:type="spellStart"/>
      <w:r w:rsidRPr="00CF3178">
        <w:rPr>
          <w:rtl/>
          <w:lang w:eastAsia="he-IL"/>
        </w:rPr>
        <w:t>אמרינן</w:t>
      </w:r>
      <w:proofErr w:type="spellEnd"/>
      <w:r w:rsidRPr="00CF3178">
        <w:rPr>
          <w:rtl/>
          <w:lang w:eastAsia="he-IL"/>
        </w:rPr>
        <w:t xml:space="preserve"> ליה</w:t>
      </w:r>
      <w:r>
        <w:rPr>
          <w:rFonts w:hint="cs"/>
          <w:rtl/>
          <w:lang w:eastAsia="he-IL"/>
        </w:rPr>
        <w:t>,</w:t>
      </w:r>
      <w:r w:rsidRPr="00CF3178">
        <w:rPr>
          <w:rtl/>
          <w:lang w:eastAsia="he-IL"/>
        </w:rPr>
        <w:t xml:space="preserve"> אבל כל </w:t>
      </w:r>
      <w:proofErr w:type="spellStart"/>
      <w:r w:rsidRPr="00CF3178">
        <w:rPr>
          <w:rtl/>
          <w:lang w:eastAsia="he-IL"/>
        </w:rPr>
        <w:t>היכא</w:t>
      </w:r>
      <w:proofErr w:type="spellEnd"/>
      <w:r w:rsidRPr="00CF3178">
        <w:rPr>
          <w:rtl/>
          <w:lang w:eastAsia="he-IL"/>
        </w:rPr>
        <w:t xml:space="preserve"> </w:t>
      </w:r>
      <w:proofErr w:type="spellStart"/>
      <w:r w:rsidRPr="00CF3178">
        <w:rPr>
          <w:rtl/>
          <w:lang w:eastAsia="he-IL"/>
        </w:rPr>
        <w:t>דליכא</w:t>
      </w:r>
      <w:proofErr w:type="spellEnd"/>
      <w:r w:rsidRPr="00CF3178">
        <w:rPr>
          <w:rtl/>
          <w:lang w:eastAsia="he-IL"/>
        </w:rPr>
        <w:t xml:space="preserve"> </w:t>
      </w:r>
      <w:proofErr w:type="spellStart"/>
      <w:r w:rsidRPr="00CF3178">
        <w:rPr>
          <w:rtl/>
          <w:lang w:eastAsia="he-IL"/>
        </w:rPr>
        <w:t>לטפויי</w:t>
      </w:r>
      <w:proofErr w:type="spellEnd"/>
      <w:r w:rsidRPr="00CF3178">
        <w:rPr>
          <w:rtl/>
          <w:lang w:eastAsia="he-IL"/>
        </w:rPr>
        <w:t xml:space="preserve"> במכר כי הכא </w:t>
      </w:r>
      <w:proofErr w:type="spellStart"/>
      <w:r w:rsidRPr="00CF3178">
        <w:rPr>
          <w:rtl/>
          <w:lang w:eastAsia="he-IL"/>
        </w:rPr>
        <w:t>דבסתם</w:t>
      </w:r>
      <w:proofErr w:type="spellEnd"/>
      <w:r w:rsidRPr="00CF3178">
        <w:rPr>
          <w:rtl/>
          <w:lang w:eastAsia="he-IL"/>
        </w:rPr>
        <w:t xml:space="preserve"> קנה </w:t>
      </w:r>
      <w:proofErr w:type="spellStart"/>
      <w:r w:rsidRPr="00CF3178">
        <w:rPr>
          <w:rtl/>
          <w:lang w:eastAsia="he-IL"/>
        </w:rPr>
        <w:t>דיקלין</w:t>
      </w:r>
      <w:proofErr w:type="spellEnd"/>
      <w:r w:rsidRPr="00CF3178">
        <w:rPr>
          <w:rtl/>
          <w:lang w:eastAsia="he-IL"/>
        </w:rPr>
        <w:t xml:space="preserve"> </w:t>
      </w:r>
      <w:proofErr w:type="spellStart"/>
      <w:r w:rsidRPr="00CF3178">
        <w:rPr>
          <w:rtl/>
          <w:lang w:eastAsia="he-IL"/>
        </w:rPr>
        <w:t>ותאלין</w:t>
      </w:r>
      <w:proofErr w:type="spellEnd"/>
      <w:r w:rsidRPr="00CF3178">
        <w:rPr>
          <w:rtl/>
          <w:lang w:eastAsia="he-IL"/>
        </w:rPr>
        <w:t xml:space="preserve"> וכל מה שבתוך השדה</w:t>
      </w:r>
      <w:r>
        <w:rPr>
          <w:rFonts w:hint="cs"/>
          <w:rtl/>
          <w:lang w:eastAsia="he-IL"/>
        </w:rPr>
        <w:t>,</w:t>
      </w:r>
      <w:r w:rsidRPr="00CF3178">
        <w:rPr>
          <w:rtl/>
          <w:lang w:eastAsia="he-IL"/>
        </w:rPr>
        <w:t xml:space="preserve"> </w:t>
      </w:r>
      <w:proofErr w:type="spellStart"/>
      <w:r w:rsidRPr="00CF3178">
        <w:rPr>
          <w:rtl/>
          <w:lang w:eastAsia="he-IL"/>
        </w:rPr>
        <w:t>וליכא</w:t>
      </w:r>
      <w:proofErr w:type="spellEnd"/>
      <w:r w:rsidRPr="00CF3178">
        <w:rPr>
          <w:rtl/>
          <w:lang w:eastAsia="he-IL"/>
        </w:rPr>
        <w:t xml:space="preserve"> </w:t>
      </w:r>
      <w:proofErr w:type="spellStart"/>
      <w:r w:rsidRPr="00CF3178">
        <w:rPr>
          <w:rtl/>
          <w:lang w:eastAsia="he-IL"/>
        </w:rPr>
        <w:t>לטפויי</w:t>
      </w:r>
      <w:proofErr w:type="spellEnd"/>
      <w:r w:rsidRPr="00CF3178">
        <w:rPr>
          <w:rtl/>
          <w:lang w:eastAsia="he-IL"/>
        </w:rPr>
        <w:t xml:space="preserve"> </w:t>
      </w:r>
      <w:proofErr w:type="spellStart"/>
      <w:r w:rsidRPr="00CF3178">
        <w:rPr>
          <w:rtl/>
          <w:lang w:eastAsia="he-IL"/>
        </w:rPr>
        <w:t>מלתא</w:t>
      </w:r>
      <w:proofErr w:type="spellEnd"/>
      <w:r w:rsidRPr="00CF3178">
        <w:rPr>
          <w:rtl/>
          <w:lang w:eastAsia="he-IL"/>
        </w:rPr>
        <w:t xml:space="preserve"> במכר </w:t>
      </w:r>
      <w:proofErr w:type="spellStart"/>
      <w:r w:rsidRPr="00CF3178">
        <w:rPr>
          <w:rtl/>
          <w:lang w:eastAsia="he-IL"/>
        </w:rPr>
        <w:t>אמרינן</w:t>
      </w:r>
      <w:proofErr w:type="spellEnd"/>
      <w:r w:rsidRPr="00CF3178">
        <w:rPr>
          <w:rtl/>
          <w:lang w:eastAsia="he-IL"/>
        </w:rPr>
        <w:t xml:space="preserve"> לישנא </w:t>
      </w:r>
      <w:proofErr w:type="spellStart"/>
      <w:r w:rsidRPr="00CF3178">
        <w:rPr>
          <w:rtl/>
          <w:lang w:eastAsia="he-IL"/>
        </w:rPr>
        <w:t>יתירא</w:t>
      </w:r>
      <w:proofErr w:type="spellEnd"/>
      <w:r w:rsidRPr="00CF3178">
        <w:rPr>
          <w:rtl/>
          <w:lang w:eastAsia="he-IL"/>
        </w:rPr>
        <w:t xml:space="preserve"> שופרא </w:t>
      </w:r>
      <w:proofErr w:type="spellStart"/>
      <w:r w:rsidRPr="00CF3178">
        <w:rPr>
          <w:rtl/>
          <w:lang w:eastAsia="he-IL"/>
        </w:rPr>
        <w:t>דשטרא</w:t>
      </w:r>
      <w:proofErr w:type="spellEnd"/>
      <w:r w:rsidRPr="00CF3178">
        <w:rPr>
          <w:rtl/>
          <w:lang w:eastAsia="he-IL"/>
        </w:rPr>
        <w:t xml:space="preserve"> הוא. וההיא </w:t>
      </w:r>
      <w:proofErr w:type="spellStart"/>
      <w:r w:rsidRPr="00CF3178">
        <w:rPr>
          <w:rtl/>
          <w:lang w:eastAsia="he-IL"/>
        </w:rPr>
        <w:t>דהמוכר</w:t>
      </w:r>
      <w:proofErr w:type="spellEnd"/>
      <w:r w:rsidRPr="00CF3178">
        <w:rPr>
          <w:rtl/>
          <w:lang w:eastAsia="he-IL"/>
        </w:rPr>
        <w:t xml:space="preserve"> את הבית </w:t>
      </w:r>
      <w:proofErr w:type="spellStart"/>
      <w:r w:rsidRPr="00CF3178">
        <w:rPr>
          <w:rtl/>
          <w:lang w:eastAsia="he-IL"/>
        </w:rPr>
        <w:t>דכתיבא</w:t>
      </w:r>
      <w:proofErr w:type="spellEnd"/>
      <w:r w:rsidRPr="00CF3178">
        <w:rPr>
          <w:rtl/>
          <w:lang w:eastAsia="he-IL"/>
        </w:rPr>
        <w:t xml:space="preserve"> לעיל</w:t>
      </w:r>
      <w:r>
        <w:rPr>
          <w:rFonts w:hint="cs"/>
          <w:rtl/>
          <w:lang w:eastAsia="he-IL"/>
        </w:rPr>
        <w:t>,</w:t>
      </w:r>
      <w:r w:rsidRPr="00CF3178">
        <w:rPr>
          <w:rtl/>
          <w:lang w:eastAsia="he-IL"/>
        </w:rPr>
        <w:t xml:space="preserve"> איירי שלא היה בשדה לא מחיצת הקנים שהיא בית רובע ולא חרוב המורכב ולא סדן השקמה ולא </w:t>
      </w:r>
      <w:proofErr w:type="spellStart"/>
      <w:r w:rsidRPr="00CF3178">
        <w:rPr>
          <w:rtl/>
          <w:lang w:eastAsia="he-IL"/>
        </w:rPr>
        <w:t>שומירה</w:t>
      </w:r>
      <w:proofErr w:type="spellEnd"/>
      <w:r w:rsidRPr="00CF3178">
        <w:rPr>
          <w:rtl/>
          <w:lang w:eastAsia="he-IL"/>
        </w:rPr>
        <w:t xml:space="preserve"> ולא שום דבר שיהיה ראוי </w:t>
      </w:r>
      <w:proofErr w:type="spellStart"/>
      <w:r w:rsidRPr="00CF3178">
        <w:rPr>
          <w:rtl/>
          <w:lang w:eastAsia="he-IL"/>
        </w:rPr>
        <w:t>לימכר</w:t>
      </w:r>
      <w:proofErr w:type="spellEnd"/>
      <w:r w:rsidRPr="00CF3178">
        <w:rPr>
          <w:rtl/>
          <w:lang w:eastAsia="he-IL"/>
        </w:rPr>
        <w:t xml:space="preserve"> בכלל השדה </w:t>
      </w:r>
      <w:proofErr w:type="spellStart"/>
      <w:r w:rsidRPr="00CF3178">
        <w:rPr>
          <w:rtl/>
          <w:lang w:eastAsia="he-IL"/>
        </w:rPr>
        <w:t>מלישנא</w:t>
      </w:r>
      <w:proofErr w:type="spellEnd"/>
      <w:r w:rsidRPr="00CF3178">
        <w:rPr>
          <w:rtl/>
          <w:lang w:eastAsia="he-IL"/>
        </w:rPr>
        <w:t xml:space="preserve"> </w:t>
      </w:r>
      <w:proofErr w:type="spellStart"/>
      <w:r w:rsidRPr="00CF3178">
        <w:rPr>
          <w:rtl/>
          <w:lang w:eastAsia="he-IL"/>
        </w:rPr>
        <w:t>יתירא</w:t>
      </w:r>
      <w:proofErr w:type="spellEnd"/>
      <w:r>
        <w:rPr>
          <w:rFonts w:hint="cs"/>
          <w:rtl/>
          <w:lang w:eastAsia="he-IL"/>
        </w:rPr>
        <w:t>,</w:t>
      </w:r>
      <w:r w:rsidRPr="00CF3178">
        <w:rPr>
          <w:rtl/>
          <w:lang w:eastAsia="he-IL"/>
        </w:rPr>
        <w:t xml:space="preserve"> ומשום הכי </w:t>
      </w:r>
      <w:proofErr w:type="spellStart"/>
      <w:r w:rsidRPr="00CF3178">
        <w:rPr>
          <w:rtl/>
          <w:lang w:eastAsia="he-IL"/>
        </w:rPr>
        <w:t>אמרינן</w:t>
      </w:r>
      <w:proofErr w:type="spellEnd"/>
      <w:r w:rsidRPr="00CF3178">
        <w:rPr>
          <w:rtl/>
          <w:lang w:eastAsia="he-IL"/>
        </w:rPr>
        <w:t xml:space="preserve"> לשופרא </w:t>
      </w:r>
      <w:proofErr w:type="spellStart"/>
      <w:r w:rsidRPr="00CF3178">
        <w:rPr>
          <w:rtl/>
          <w:lang w:eastAsia="he-IL"/>
        </w:rPr>
        <w:t>דשטרא</w:t>
      </w:r>
      <w:proofErr w:type="spellEnd"/>
      <w:r w:rsidRPr="00CF3178">
        <w:rPr>
          <w:rtl/>
          <w:lang w:eastAsia="he-IL"/>
        </w:rPr>
        <w:t xml:space="preserve">. שוב ראיתי שכתב </w:t>
      </w:r>
      <w:proofErr w:type="spellStart"/>
      <w:r w:rsidRPr="00CF3178">
        <w:rPr>
          <w:rtl/>
          <w:lang w:eastAsia="he-IL"/>
        </w:rPr>
        <w:t>רשב"ם</w:t>
      </w:r>
      <w:proofErr w:type="spellEnd"/>
      <w:r w:rsidRPr="00CF3178">
        <w:rPr>
          <w:rtl/>
          <w:lang w:eastAsia="he-IL"/>
        </w:rPr>
        <w:t xml:space="preserve"> ז"ל כדברי עיין </w:t>
      </w:r>
      <w:proofErr w:type="spellStart"/>
      <w:r w:rsidRPr="00CF3178">
        <w:rPr>
          <w:rtl/>
          <w:lang w:eastAsia="he-IL"/>
        </w:rPr>
        <w:t>בפ</w:t>
      </w:r>
      <w:proofErr w:type="spellEnd"/>
      <w:r w:rsidRPr="00CF3178">
        <w:rPr>
          <w:rtl/>
          <w:lang w:eastAsia="he-IL"/>
        </w:rPr>
        <w:t>' המוכר את הבית</w:t>
      </w:r>
      <w:r w:rsidRPr="00CF3178">
        <w:rPr>
          <w:rFonts w:hint="cs"/>
          <w:rtl/>
          <w:lang w:eastAsia="he-IL"/>
        </w:rPr>
        <w:t>."</w:t>
      </w:r>
    </w:p>
    <w:p w14:paraId="31E1F92E" w14:textId="77777777" w:rsidR="00BA19D6" w:rsidRDefault="00BA19D6" w:rsidP="00BA19D6">
      <w:pPr>
        <w:snapToGrid w:val="0"/>
        <w:spacing w:after="120" w:line="276" w:lineRule="auto"/>
        <w:ind w:firstLine="397"/>
        <w:rPr>
          <w:rtl/>
          <w:lang w:eastAsia="he-IL"/>
        </w:rPr>
      </w:pPr>
      <w:proofErr w:type="spellStart"/>
      <w:r>
        <w:rPr>
          <w:rFonts w:hint="cs"/>
          <w:rtl/>
          <w:lang w:eastAsia="he-IL"/>
        </w:rPr>
        <w:t>וכ"פ</w:t>
      </w:r>
      <w:proofErr w:type="spellEnd"/>
      <w:r>
        <w:rPr>
          <w:rFonts w:hint="cs"/>
          <w:rtl/>
          <w:lang w:eastAsia="he-IL"/>
        </w:rPr>
        <w:t xml:space="preserve"> שו"ת </w:t>
      </w:r>
      <w:proofErr w:type="spellStart"/>
      <w:r>
        <w:rPr>
          <w:rFonts w:hint="cs"/>
          <w:rtl/>
          <w:lang w:eastAsia="he-IL"/>
        </w:rPr>
        <w:t>מהריב"ל</w:t>
      </w:r>
      <w:proofErr w:type="spellEnd"/>
      <w:r>
        <w:rPr>
          <w:rFonts w:hint="cs"/>
          <w:rtl/>
          <w:lang w:eastAsia="he-IL"/>
        </w:rPr>
        <w:t xml:space="preserve"> סימן פט כלל ט"ז, שאין להוציא ממון מחמת לישנא יתרה שבשטר, </w:t>
      </w:r>
      <w:proofErr w:type="spellStart"/>
      <w:r>
        <w:rPr>
          <w:rFonts w:hint="cs"/>
          <w:rtl/>
          <w:lang w:eastAsia="he-IL"/>
        </w:rPr>
        <w:t>משא"כ</w:t>
      </w:r>
      <w:proofErr w:type="spellEnd"/>
      <w:r>
        <w:rPr>
          <w:rFonts w:hint="cs"/>
          <w:rtl/>
          <w:lang w:eastAsia="he-IL"/>
        </w:rPr>
        <w:t xml:space="preserve"> להחזיק ממון. </w:t>
      </w:r>
      <w:proofErr w:type="spellStart"/>
      <w:r>
        <w:rPr>
          <w:rFonts w:hint="cs"/>
          <w:rtl/>
          <w:lang w:eastAsia="he-IL"/>
        </w:rPr>
        <w:t>וכ"פ</w:t>
      </w:r>
      <w:proofErr w:type="spellEnd"/>
      <w:r>
        <w:rPr>
          <w:rFonts w:hint="cs"/>
          <w:rtl/>
          <w:lang w:eastAsia="he-IL"/>
        </w:rPr>
        <w:t xml:space="preserve"> ר"י </w:t>
      </w:r>
      <w:proofErr w:type="spellStart"/>
      <w:r>
        <w:rPr>
          <w:rFonts w:hint="cs"/>
          <w:rtl/>
          <w:lang w:eastAsia="he-IL"/>
        </w:rPr>
        <w:t>אדרבי</w:t>
      </w:r>
      <w:proofErr w:type="spellEnd"/>
      <w:r>
        <w:rPr>
          <w:rFonts w:hint="cs"/>
          <w:rtl/>
          <w:lang w:eastAsia="he-IL"/>
        </w:rPr>
        <w:t xml:space="preserve"> סימן ס'. </w:t>
      </w:r>
    </w:p>
    <w:p w14:paraId="452135F3" w14:textId="77777777" w:rsidR="00BA19D6" w:rsidRDefault="00BA19D6" w:rsidP="00BA19D6">
      <w:pPr>
        <w:snapToGrid w:val="0"/>
        <w:spacing w:after="120" w:line="276" w:lineRule="auto"/>
        <w:ind w:firstLine="397"/>
        <w:rPr>
          <w:rtl/>
          <w:lang w:eastAsia="he-IL"/>
        </w:rPr>
      </w:pPr>
      <w:r>
        <w:rPr>
          <w:rFonts w:hint="cs"/>
          <w:rtl/>
          <w:lang w:eastAsia="he-IL"/>
        </w:rPr>
        <w:t xml:space="preserve">בנידון דידן, האב הוא המוחזק בחלקו בדירה. הבת המבקשת את </w:t>
      </w:r>
      <w:proofErr w:type="spellStart"/>
      <w:r>
        <w:rPr>
          <w:rFonts w:hint="cs"/>
          <w:rtl/>
          <w:lang w:eastAsia="he-IL"/>
        </w:rPr>
        <w:t>אישרור</w:t>
      </w:r>
      <w:proofErr w:type="spellEnd"/>
      <w:r>
        <w:rPr>
          <w:rFonts w:hint="cs"/>
          <w:rtl/>
          <w:lang w:eastAsia="he-IL"/>
        </w:rPr>
        <w:t xml:space="preserve"> הסכם הגירושין, היא המוציאה. לפיכך יש לדקדק בלשון הסכם הגירושין, ואין לומר שופרא </w:t>
      </w:r>
      <w:proofErr w:type="spellStart"/>
      <w:r>
        <w:rPr>
          <w:rFonts w:hint="cs"/>
          <w:rtl/>
          <w:lang w:eastAsia="he-IL"/>
        </w:rPr>
        <w:t>דשטרא</w:t>
      </w:r>
      <w:proofErr w:type="spellEnd"/>
      <w:r>
        <w:rPr>
          <w:rFonts w:hint="cs"/>
          <w:rtl/>
          <w:lang w:eastAsia="he-IL"/>
        </w:rPr>
        <w:t xml:space="preserve">. </w:t>
      </w:r>
    </w:p>
    <w:p w14:paraId="261F75C2" w14:textId="77777777" w:rsidR="00BA19D6" w:rsidRDefault="00BA19D6" w:rsidP="00BA19D6">
      <w:pPr>
        <w:snapToGrid w:val="0"/>
        <w:spacing w:after="120" w:line="276" w:lineRule="auto"/>
        <w:ind w:firstLine="397"/>
        <w:rPr>
          <w:rtl/>
          <w:lang w:eastAsia="he-IL"/>
        </w:rPr>
      </w:pPr>
      <w:r>
        <w:rPr>
          <w:rFonts w:hint="cs"/>
          <w:rtl/>
          <w:lang w:eastAsia="he-IL"/>
        </w:rPr>
        <w:t xml:space="preserve">ועיין </w:t>
      </w:r>
      <w:r>
        <w:rPr>
          <w:rtl/>
          <w:lang w:eastAsia="he-IL"/>
        </w:rPr>
        <w:t xml:space="preserve">כנסת הגדולה הגהות בית יוסף חושן משפט סימן </w:t>
      </w:r>
      <w:proofErr w:type="spellStart"/>
      <w:r>
        <w:rPr>
          <w:rtl/>
          <w:lang w:eastAsia="he-IL"/>
        </w:rPr>
        <w:t>סא</w:t>
      </w:r>
      <w:proofErr w:type="spellEnd"/>
      <w:r>
        <w:rPr>
          <w:rFonts w:hint="cs"/>
          <w:rtl/>
          <w:lang w:eastAsia="he-IL"/>
        </w:rPr>
        <w:t xml:space="preserve"> - </w:t>
      </w:r>
    </w:p>
    <w:p w14:paraId="1FF55C16" w14:textId="77777777" w:rsidR="00BA19D6" w:rsidRPr="00CF3178" w:rsidRDefault="00BA19D6" w:rsidP="00BA19D6">
      <w:pPr>
        <w:pStyle w:val="aa"/>
        <w:rPr>
          <w:rtl/>
          <w:lang w:eastAsia="he-IL"/>
        </w:rPr>
      </w:pPr>
      <w:r w:rsidRPr="00CF3178">
        <w:rPr>
          <w:rFonts w:hint="cs"/>
          <w:rtl/>
          <w:lang w:eastAsia="he-IL"/>
        </w:rPr>
        <w:t>"</w:t>
      </w:r>
      <w:proofErr w:type="spellStart"/>
      <w:r w:rsidRPr="00CF3178">
        <w:rPr>
          <w:rtl/>
          <w:lang w:eastAsia="he-IL"/>
        </w:rPr>
        <w:t>ו</w:t>
      </w:r>
      <w:r w:rsidRPr="00CF3178">
        <w:rPr>
          <w:rFonts w:hint="cs"/>
          <w:rtl/>
          <w:lang w:eastAsia="he-IL"/>
        </w:rPr>
        <w:t>מ</w:t>
      </w:r>
      <w:r w:rsidRPr="00CF3178">
        <w:rPr>
          <w:rtl/>
          <w:lang w:eastAsia="he-IL"/>
        </w:rPr>
        <w:t>הרש"ך</w:t>
      </w:r>
      <w:proofErr w:type="spellEnd"/>
      <w:r w:rsidRPr="00CF3178">
        <w:rPr>
          <w:rtl/>
          <w:lang w:eastAsia="he-IL"/>
        </w:rPr>
        <w:t xml:space="preserve"> ז"ל ח"א סימן ב' כתב </w:t>
      </w:r>
      <w:proofErr w:type="spellStart"/>
      <w:r w:rsidRPr="00CF3178">
        <w:rPr>
          <w:rtl/>
          <w:lang w:eastAsia="he-IL"/>
        </w:rPr>
        <w:t>לייש</w:t>
      </w:r>
      <w:proofErr w:type="spellEnd"/>
      <w:r w:rsidRPr="00CF3178">
        <w:rPr>
          <w:rtl/>
          <w:lang w:eastAsia="he-IL"/>
        </w:rPr>
        <w:t xml:space="preserve">' תשו' </w:t>
      </w:r>
      <w:proofErr w:type="spellStart"/>
      <w:r w:rsidRPr="00CF3178">
        <w:rPr>
          <w:rtl/>
          <w:lang w:eastAsia="he-IL"/>
        </w:rPr>
        <w:t>הרשב"א</w:t>
      </w:r>
      <w:proofErr w:type="spellEnd"/>
      <w:r w:rsidRPr="00CF3178">
        <w:rPr>
          <w:rtl/>
          <w:lang w:eastAsia="he-IL"/>
        </w:rPr>
        <w:t xml:space="preserve"> ז"ל דסתרי אהדדי, וכתב דלא </w:t>
      </w:r>
      <w:proofErr w:type="spellStart"/>
      <w:r w:rsidRPr="00CF3178">
        <w:rPr>
          <w:rtl/>
          <w:lang w:eastAsia="he-IL"/>
        </w:rPr>
        <w:t>אמרינן</w:t>
      </w:r>
      <w:proofErr w:type="spellEnd"/>
      <w:r w:rsidRPr="00CF3178">
        <w:rPr>
          <w:rtl/>
          <w:lang w:eastAsia="he-IL"/>
        </w:rPr>
        <w:t xml:space="preserve"> לישנא </w:t>
      </w:r>
      <w:proofErr w:type="spellStart"/>
      <w:r w:rsidRPr="00CF3178">
        <w:rPr>
          <w:rtl/>
          <w:lang w:eastAsia="he-IL"/>
        </w:rPr>
        <w:t>יתירא</w:t>
      </w:r>
      <w:proofErr w:type="spellEnd"/>
      <w:r w:rsidRPr="00CF3178">
        <w:rPr>
          <w:rtl/>
          <w:lang w:eastAsia="he-IL"/>
        </w:rPr>
        <w:t xml:space="preserve"> </w:t>
      </w:r>
      <w:proofErr w:type="spellStart"/>
      <w:r w:rsidRPr="00CF3178">
        <w:rPr>
          <w:rtl/>
          <w:lang w:eastAsia="he-IL"/>
        </w:rPr>
        <w:t>לטפויי</w:t>
      </w:r>
      <w:proofErr w:type="spellEnd"/>
      <w:r w:rsidRPr="00CF3178">
        <w:rPr>
          <w:rtl/>
          <w:lang w:eastAsia="he-IL"/>
        </w:rPr>
        <w:t xml:space="preserve"> אתא אלא כשכת</w:t>
      </w:r>
      <w:r w:rsidRPr="00CF3178">
        <w:rPr>
          <w:rFonts w:hint="cs"/>
          <w:rtl/>
          <w:lang w:eastAsia="he-IL"/>
        </w:rPr>
        <w:t>ב</w:t>
      </w:r>
      <w:r w:rsidRPr="00CF3178">
        <w:rPr>
          <w:rtl/>
          <w:lang w:eastAsia="he-IL"/>
        </w:rPr>
        <w:t xml:space="preserve"> בשטר דבר שאינו צריך, </w:t>
      </w:r>
      <w:proofErr w:type="spellStart"/>
      <w:r w:rsidRPr="00CF3178">
        <w:rPr>
          <w:rtl/>
          <w:lang w:eastAsia="he-IL"/>
        </w:rPr>
        <w:t>דבלאו</w:t>
      </w:r>
      <w:proofErr w:type="spellEnd"/>
      <w:r w:rsidRPr="00CF3178">
        <w:rPr>
          <w:rtl/>
          <w:lang w:eastAsia="he-IL"/>
        </w:rPr>
        <w:t xml:space="preserve"> הכי סתמיה </w:t>
      </w:r>
      <w:proofErr w:type="spellStart"/>
      <w:r w:rsidRPr="00CF3178">
        <w:rPr>
          <w:rtl/>
          <w:lang w:eastAsia="he-IL"/>
        </w:rPr>
        <w:t>דההיא</w:t>
      </w:r>
      <w:proofErr w:type="spellEnd"/>
      <w:r w:rsidRPr="00CF3178">
        <w:rPr>
          <w:rtl/>
          <w:lang w:eastAsia="he-IL"/>
        </w:rPr>
        <w:t xml:space="preserve"> מילתא בהכי משתמע. אבל כשנכת</w:t>
      </w:r>
      <w:r w:rsidRPr="00CF3178">
        <w:rPr>
          <w:rFonts w:hint="cs"/>
          <w:rtl/>
          <w:lang w:eastAsia="he-IL"/>
        </w:rPr>
        <w:t>ב</w:t>
      </w:r>
      <w:r w:rsidRPr="00CF3178">
        <w:rPr>
          <w:rtl/>
          <w:lang w:eastAsia="he-IL"/>
        </w:rPr>
        <w:t xml:space="preserve"> בשטר דבר א' שצריך </w:t>
      </w:r>
      <w:proofErr w:type="spellStart"/>
      <w:r w:rsidRPr="00CF3178">
        <w:rPr>
          <w:rtl/>
          <w:lang w:eastAsia="he-IL"/>
        </w:rPr>
        <w:t>ליכתב</w:t>
      </w:r>
      <w:proofErr w:type="spellEnd"/>
      <w:r w:rsidRPr="00CF3178">
        <w:rPr>
          <w:rtl/>
          <w:lang w:eastAsia="he-IL"/>
        </w:rPr>
        <w:t xml:space="preserve">, ואותו הדבר הוכפל והוא מיותר, לא </w:t>
      </w:r>
      <w:proofErr w:type="spellStart"/>
      <w:r w:rsidRPr="00CF3178">
        <w:rPr>
          <w:rtl/>
          <w:lang w:eastAsia="he-IL"/>
        </w:rPr>
        <w:t>אמרינן</w:t>
      </w:r>
      <w:proofErr w:type="spellEnd"/>
      <w:r w:rsidRPr="00CF3178">
        <w:rPr>
          <w:rtl/>
          <w:lang w:eastAsia="he-IL"/>
        </w:rPr>
        <w:t xml:space="preserve"> </w:t>
      </w:r>
      <w:proofErr w:type="spellStart"/>
      <w:r w:rsidRPr="00CF3178">
        <w:rPr>
          <w:rtl/>
          <w:lang w:eastAsia="he-IL"/>
        </w:rPr>
        <w:t>בכה"ג</w:t>
      </w:r>
      <w:proofErr w:type="spellEnd"/>
      <w:r w:rsidRPr="00CF3178">
        <w:rPr>
          <w:rtl/>
          <w:lang w:eastAsia="he-IL"/>
        </w:rPr>
        <w:t xml:space="preserve"> לישנא </w:t>
      </w:r>
      <w:proofErr w:type="spellStart"/>
      <w:r w:rsidRPr="00CF3178">
        <w:rPr>
          <w:rtl/>
          <w:lang w:eastAsia="he-IL"/>
        </w:rPr>
        <w:t>יתירא</w:t>
      </w:r>
      <w:proofErr w:type="spellEnd"/>
      <w:r w:rsidRPr="00CF3178">
        <w:rPr>
          <w:rtl/>
          <w:lang w:eastAsia="he-IL"/>
        </w:rPr>
        <w:t xml:space="preserve"> </w:t>
      </w:r>
      <w:proofErr w:type="spellStart"/>
      <w:r w:rsidRPr="00CF3178">
        <w:rPr>
          <w:rtl/>
          <w:lang w:eastAsia="he-IL"/>
        </w:rPr>
        <w:t>לטפויי</w:t>
      </w:r>
      <w:proofErr w:type="spellEnd"/>
      <w:r w:rsidRPr="00CF3178">
        <w:rPr>
          <w:rtl/>
          <w:lang w:eastAsia="he-IL"/>
        </w:rPr>
        <w:t xml:space="preserve"> אתא</w:t>
      </w:r>
      <w:r w:rsidRPr="00CF3178">
        <w:rPr>
          <w:rFonts w:hint="cs"/>
          <w:rtl/>
          <w:lang w:eastAsia="he-IL"/>
        </w:rPr>
        <w:t>."</w:t>
      </w:r>
    </w:p>
    <w:p w14:paraId="22DA6BD8" w14:textId="77777777" w:rsidR="00BA19D6" w:rsidRPr="00FB7865" w:rsidRDefault="00BA19D6" w:rsidP="00BA19D6">
      <w:pPr>
        <w:snapToGrid w:val="0"/>
        <w:spacing w:after="120" w:line="276" w:lineRule="auto"/>
        <w:ind w:firstLine="397"/>
        <w:rPr>
          <w:rtl/>
          <w:lang w:eastAsia="he-IL"/>
        </w:rPr>
      </w:pPr>
      <w:r>
        <w:rPr>
          <w:rFonts w:hint="cs"/>
          <w:rtl/>
          <w:lang w:eastAsia="he-IL"/>
        </w:rPr>
        <w:lastRenderedPageBreak/>
        <w:t xml:space="preserve">בנידון דידן, הראנו לעיל כי המילה "גירושין" בסעיף 6 מיותרת, כפי שבשאר 12 המקומות שמופיעה המילה "הסכם", מופיעה לבדה. לפיכך ע"פ דברי </w:t>
      </w:r>
      <w:proofErr w:type="spellStart"/>
      <w:r>
        <w:rPr>
          <w:rFonts w:hint="cs"/>
          <w:rtl/>
          <w:lang w:eastAsia="he-IL"/>
        </w:rPr>
        <w:t>מהרש"ך</w:t>
      </w:r>
      <w:proofErr w:type="spellEnd"/>
      <w:r>
        <w:rPr>
          <w:rFonts w:hint="cs"/>
          <w:rtl/>
          <w:lang w:eastAsia="he-IL"/>
        </w:rPr>
        <w:t xml:space="preserve">, כתבה </w:t>
      </w:r>
      <w:proofErr w:type="spellStart"/>
      <w:r>
        <w:rPr>
          <w:rFonts w:hint="cs"/>
          <w:rtl/>
          <w:lang w:eastAsia="he-IL"/>
        </w:rPr>
        <w:t>לטפויי</w:t>
      </w:r>
      <w:proofErr w:type="spellEnd"/>
      <w:r>
        <w:rPr>
          <w:rFonts w:hint="cs"/>
          <w:rtl/>
          <w:lang w:eastAsia="he-IL"/>
        </w:rPr>
        <w:t xml:space="preserve">, ולהדגיש כי העברת חלקו בדירה אינה בפני עצמה אלא רק מחמת גירושין. </w:t>
      </w:r>
    </w:p>
    <w:p w14:paraId="30680B9F" w14:textId="77777777" w:rsidR="00BA19D6" w:rsidRDefault="00BA19D6" w:rsidP="00BA19D6">
      <w:pPr>
        <w:snapToGrid w:val="0"/>
        <w:spacing w:after="120" w:line="276" w:lineRule="auto"/>
        <w:ind w:firstLine="397"/>
        <w:rPr>
          <w:rtl/>
          <w:lang w:eastAsia="he-IL"/>
        </w:rPr>
      </w:pPr>
      <w:r>
        <w:rPr>
          <w:rFonts w:hint="cs"/>
          <w:rtl/>
          <w:lang w:eastAsia="he-IL"/>
        </w:rPr>
        <w:t>עוד יש להעיר בעניין זה. האב טען כי הבת [ר</w:t>
      </w:r>
      <w:r>
        <w:rPr>
          <w:rtl/>
          <w:lang w:eastAsia="he-IL"/>
        </w:rPr>
        <w:t>'</w:t>
      </w:r>
      <w:r>
        <w:rPr>
          <w:rFonts w:hint="cs"/>
          <w:rtl/>
          <w:lang w:eastAsia="he-IL"/>
        </w:rPr>
        <w:t xml:space="preserve">] שהיא עורכת דין, היא שהכינה את הסכם הגירושין והחתימה אותו כלאחר יד בתחנת אוטובוס. ויש לשאול האם </w:t>
      </w:r>
      <w:proofErr w:type="spellStart"/>
      <w:r>
        <w:rPr>
          <w:rFonts w:hint="cs"/>
          <w:rtl/>
          <w:lang w:eastAsia="he-IL"/>
        </w:rPr>
        <w:t>בכה"ג</w:t>
      </w:r>
      <w:proofErr w:type="spellEnd"/>
      <w:r>
        <w:rPr>
          <w:rFonts w:hint="cs"/>
          <w:rtl/>
          <w:lang w:eastAsia="he-IL"/>
        </w:rPr>
        <w:t xml:space="preserve"> עדיין נאמר שיש לדקדק בלשון השטר? הרי לדברי האב, הוא עצמו לא דקדק בו. תשובה לכך בדברי </w:t>
      </w:r>
      <w:proofErr w:type="spellStart"/>
      <w:r>
        <w:rPr>
          <w:rFonts w:hint="cs"/>
          <w:rtl/>
          <w:lang w:eastAsia="he-IL"/>
        </w:rPr>
        <w:t>הסמ"ע</w:t>
      </w:r>
      <w:proofErr w:type="spellEnd"/>
      <w:r>
        <w:rPr>
          <w:rFonts w:hint="cs"/>
          <w:rtl/>
          <w:lang w:eastAsia="he-IL"/>
        </w:rPr>
        <w:t xml:space="preserve"> בסימן ס"א הנ"ל. בסעיף </w:t>
      </w:r>
      <w:proofErr w:type="spellStart"/>
      <w:r>
        <w:rPr>
          <w:rFonts w:hint="cs"/>
          <w:rtl/>
          <w:lang w:eastAsia="he-IL"/>
        </w:rPr>
        <w:t>יג</w:t>
      </w:r>
      <w:proofErr w:type="spellEnd"/>
      <w:r>
        <w:rPr>
          <w:rFonts w:hint="cs"/>
          <w:rtl/>
          <w:lang w:eastAsia="he-IL"/>
        </w:rPr>
        <w:t xml:space="preserve"> שם הביא גם </w:t>
      </w:r>
      <w:proofErr w:type="spellStart"/>
      <w:r>
        <w:rPr>
          <w:rFonts w:hint="cs"/>
          <w:rtl/>
          <w:lang w:eastAsia="he-IL"/>
        </w:rPr>
        <w:t>הרמ"א</w:t>
      </w:r>
      <w:proofErr w:type="spellEnd"/>
      <w:r>
        <w:rPr>
          <w:rFonts w:hint="cs"/>
          <w:rtl/>
          <w:lang w:eastAsia="he-IL"/>
        </w:rPr>
        <w:t xml:space="preserve"> את דברי </w:t>
      </w:r>
      <w:proofErr w:type="spellStart"/>
      <w:r>
        <w:rPr>
          <w:rFonts w:hint="cs"/>
          <w:rtl/>
          <w:lang w:eastAsia="he-IL"/>
        </w:rPr>
        <w:t>הריב"ש</w:t>
      </w:r>
      <w:proofErr w:type="spellEnd"/>
      <w:r>
        <w:rPr>
          <w:rFonts w:hint="cs"/>
          <w:rtl/>
          <w:lang w:eastAsia="he-IL"/>
        </w:rPr>
        <w:t xml:space="preserve"> בצורך לדקדק בשטר, שהביאם המחבר בסעיף ט"ו. וכ"כ </w:t>
      </w:r>
      <w:proofErr w:type="spellStart"/>
      <w:r>
        <w:rPr>
          <w:rFonts w:hint="cs"/>
          <w:rtl/>
          <w:lang w:eastAsia="he-IL"/>
        </w:rPr>
        <w:t>הרמ"א</w:t>
      </w:r>
      <w:proofErr w:type="spellEnd"/>
      <w:r>
        <w:rPr>
          <w:rFonts w:hint="cs"/>
          <w:rtl/>
          <w:lang w:eastAsia="he-IL"/>
        </w:rPr>
        <w:t>:</w:t>
      </w:r>
    </w:p>
    <w:p w14:paraId="2292978C" w14:textId="77777777" w:rsidR="00BA19D6" w:rsidRPr="00C21A6A" w:rsidRDefault="00BA19D6" w:rsidP="00BA19D6">
      <w:pPr>
        <w:snapToGrid w:val="0"/>
        <w:spacing w:after="120" w:line="276" w:lineRule="auto"/>
        <w:ind w:firstLine="397"/>
        <w:rPr>
          <w:rtl/>
          <w:lang w:eastAsia="he-IL"/>
        </w:rPr>
      </w:pPr>
      <w:r w:rsidRPr="00C21A6A">
        <w:rPr>
          <w:rFonts w:hint="cs"/>
          <w:rtl/>
          <w:lang w:eastAsia="he-IL"/>
        </w:rPr>
        <w:t>"</w:t>
      </w:r>
      <w:r w:rsidRPr="00C21A6A">
        <w:rPr>
          <w:rtl/>
          <w:lang w:eastAsia="he-IL"/>
        </w:rPr>
        <w:t xml:space="preserve">מי שטען על כתובת אשתו שהיה עם הארץ ולא הבין כשקרא החזן הכתובה והתנאים, אין </w:t>
      </w:r>
      <w:proofErr w:type="spellStart"/>
      <w:r w:rsidRPr="00C21A6A">
        <w:rPr>
          <w:rtl/>
          <w:lang w:eastAsia="he-IL"/>
        </w:rPr>
        <w:t>שומעין</w:t>
      </w:r>
      <w:proofErr w:type="spellEnd"/>
      <w:r w:rsidRPr="00C21A6A">
        <w:rPr>
          <w:rtl/>
          <w:lang w:eastAsia="he-IL"/>
        </w:rPr>
        <w:t xml:space="preserve"> לו. הגה: וה"ה בשאר דקדוקים שיש לדקדק מן השטר, ולא </w:t>
      </w:r>
      <w:proofErr w:type="spellStart"/>
      <w:r w:rsidRPr="00C21A6A">
        <w:rPr>
          <w:rtl/>
          <w:lang w:eastAsia="he-IL"/>
        </w:rPr>
        <w:t>אמרינן</w:t>
      </w:r>
      <w:proofErr w:type="spellEnd"/>
      <w:r w:rsidRPr="00C21A6A">
        <w:rPr>
          <w:rtl/>
          <w:lang w:eastAsia="he-IL"/>
        </w:rPr>
        <w:t xml:space="preserve"> </w:t>
      </w:r>
      <w:proofErr w:type="spellStart"/>
      <w:r w:rsidRPr="00C21A6A">
        <w:rPr>
          <w:rtl/>
          <w:lang w:eastAsia="he-IL"/>
        </w:rPr>
        <w:t>דהאי</w:t>
      </w:r>
      <w:proofErr w:type="spellEnd"/>
      <w:r w:rsidRPr="00C21A6A">
        <w:rPr>
          <w:rtl/>
          <w:lang w:eastAsia="he-IL"/>
        </w:rPr>
        <w:t xml:space="preserve"> גברא לא דקדק כל כך, וכמו שנתבאר בסמוך </w:t>
      </w:r>
      <w:r w:rsidRPr="00BA19D6">
        <w:rPr>
          <w:szCs w:val="24"/>
          <w:rtl/>
          <w:lang w:eastAsia="he-IL"/>
        </w:rPr>
        <w:t xml:space="preserve">(בית יוסף בשם </w:t>
      </w:r>
      <w:proofErr w:type="spellStart"/>
      <w:r w:rsidRPr="00BA19D6">
        <w:rPr>
          <w:szCs w:val="24"/>
          <w:rtl/>
          <w:lang w:eastAsia="he-IL"/>
        </w:rPr>
        <w:t>ריב"ש</w:t>
      </w:r>
      <w:proofErr w:type="spellEnd"/>
      <w:r w:rsidRPr="00BA19D6">
        <w:rPr>
          <w:szCs w:val="24"/>
          <w:rtl/>
          <w:lang w:eastAsia="he-IL"/>
        </w:rPr>
        <w:t xml:space="preserve"> סימן ת"פ)</w:t>
      </w:r>
      <w:r w:rsidRPr="00C21A6A">
        <w:rPr>
          <w:rtl/>
          <w:lang w:eastAsia="he-IL"/>
        </w:rPr>
        <w:t>.</w:t>
      </w:r>
      <w:r w:rsidRPr="00C21A6A">
        <w:rPr>
          <w:rFonts w:hint="cs"/>
          <w:rtl/>
          <w:lang w:eastAsia="he-IL"/>
        </w:rPr>
        <w:t>"</w:t>
      </w:r>
    </w:p>
    <w:p w14:paraId="6CCCA5F5" w14:textId="77777777" w:rsidR="00BA19D6" w:rsidRPr="00F3247A" w:rsidRDefault="00BA19D6" w:rsidP="00BA19D6">
      <w:pPr>
        <w:snapToGrid w:val="0"/>
        <w:spacing w:after="120" w:line="276" w:lineRule="auto"/>
        <w:ind w:firstLine="397"/>
        <w:rPr>
          <w:rtl/>
          <w:lang w:eastAsia="he-IL"/>
        </w:rPr>
      </w:pPr>
      <w:r>
        <w:rPr>
          <w:rFonts w:hint="cs"/>
          <w:rtl/>
          <w:lang w:eastAsia="he-IL"/>
        </w:rPr>
        <w:t xml:space="preserve">מדוע הביא </w:t>
      </w:r>
      <w:proofErr w:type="spellStart"/>
      <w:r>
        <w:rPr>
          <w:rFonts w:hint="cs"/>
          <w:rtl/>
          <w:lang w:eastAsia="he-IL"/>
        </w:rPr>
        <w:t>הרמ"א</w:t>
      </w:r>
      <w:proofErr w:type="spellEnd"/>
      <w:r>
        <w:rPr>
          <w:rFonts w:hint="cs"/>
          <w:rtl/>
          <w:lang w:eastAsia="he-IL"/>
        </w:rPr>
        <w:t xml:space="preserve"> את דברי </w:t>
      </w:r>
      <w:proofErr w:type="spellStart"/>
      <w:r>
        <w:rPr>
          <w:rFonts w:hint="cs"/>
          <w:rtl/>
          <w:lang w:eastAsia="he-IL"/>
        </w:rPr>
        <w:t>הריב"ש</w:t>
      </w:r>
      <w:proofErr w:type="spellEnd"/>
      <w:r>
        <w:rPr>
          <w:rFonts w:hint="cs"/>
          <w:rtl/>
          <w:lang w:eastAsia="he-IL"/>
        </w:rPr>
        <w:t xml:space="preserve"> שהביאם המחבר לאחר 2 סעיפים?</w:t>
      </w:r>
    </w:p>
    <w:p w14:paraId="02078884" w14:textId="77777777" w:rsidR="00BA19D6" w:rsidRDefault="00BA19D6" w:rsidP="00BA19D6">
      <w:pPr>
        <w:snapToGrid w:val="0"/>
        <w:spacing w:after="120" w:line="276" w:lineRule="auto"/>
        <w:ind w:firstLine="397"/>
        <w:rPr>
          <w:rtl/>
          <w:lang w:eastAsia="he-IL"/>
        </w:rPr>
      </w:pPr>
      <w:r>
        <w:rPr>
          <w:rFonts w:hint="cs"/>
          <w:rtl/>
          <w:lang w:eastAsia="he-IL"/>
        </w:rPr>
        <w:t xml:space="preserve">כתב </w:t>
      </w:r>
      <w:proofErr w:type="spellStart"/>
      <w:r>
        <w:rPr>
          <w:rFonts w:hint="cs"/>
          <w:rtl/>
          <w:lang w:eastAsia="he-IL"/>
        </w:rPr>
        <w:t>ה</w:t>
      </w:r>
      <w:r>
        <w:rPr>
          <w:rtl/>
          <w:lang w:eastAsia="he-IL"/>
        </w:rPr>
        <w:t>סמ"ע</w:t>
      </w:r>
      <w:proofErr w:type="spellEnd"/>
      <w:r>
        <w:rPr>
          <w:rtl/>
          <w:lang w:eastAsia="he-IL"/>
        </w:rPr>
        <w:t xml:space="preserve">  </w:t>
      </w:r>
      <w:proofErr w:type="spellStart"/>
      <w:r>
        <w:rPr>
          <w:rtl/>
          <w:lang w:eastAsia="he-IL"/>
        </w:rPr>
        <w:t>ס"ק</w:t>
      </w:r>
      <w:proofErr w:type="spellEnd"/>
      <w:r>
        <w:rPr>
          <w:rtl/>
          <w:lang w:eastAsia="he-IL"/>
        </w:rPr>
        <w:t xml:space="preserve"> כד</w:t>
      </w:r>
      <w:r>
        <w:rPr>
          <w:rFonts w:hint="cs"/>
          <w:rtl/>
          <w:lang w:eastAsia="he-IL"/>
        </w:rPr>
        <w:t>:</w:t>
      </w:r>
    </w:p>
    <w:p w14:paraId="760CE1A1" w14:textId="77777777" w:rsidR="00BA19D6" w:rsidRPr="00CF3178" w:rsidRDefault="00BA19D6" w:rsidP="00BA19D6">
      <w:pPr>
        <w:pStyle w:val="aa"/>
        <w:rPr>
          <w:rtl/>
          <w:lang w:eastAsia="he-IL"/>
        </w:rPr>
      </w:pPr>
      <w:r w:rsidRPr="00CF3178">
        <w:rPr>
          <w:rFonts w:hint="cs"/>
          <w:rtl/>
          <w:lang w:eastAsia="he-IL"/>
        </w:rPr>
        <w:t>"</w:t>
      </w:r>
      <w:r w:rsidRPr="00CF3178">
        <w:rPr>
          <w:rtl/>
          <w:lang w:eastAsia="he-IL"/>
        </w:rPr>
        <w:t xml:space="preserve">וה"ה בשאר </w:t>
      </w:r>
      <w:proofErr w:type="spellStart"/>
      <w:r w:rsidRPr="00CF3178">
        <w:rPr>
          <w:rtl/>
          <w:lang w:eastAsia="he-IL"/>
        </w:rPr>
        <w:t>דקדוקין</w:t>
      </w:r>
      <w:proofErr w:type="spellEnd"/>
      <w:r w:rsidRPr="00CF3178">
        <w:rPr>
          <w:rtl/>
          <w:lang w:eastAsia="he-IL"/>
        </w:rPr>
        <w:t xml:space="preserve"> </w:t>
      </w:r>
      <w:proofErr w:type="spellStart"/>
      <w:r w:rsidRPr="00CF3178">
        <w:rPr>
          <w:rtl/>
          <w:lang w:eastAsia="he-IL"/>
        </w:rPr>
        <w:t>כו</w:t>
      </w:r>
      <w:proofErr w:type="spellEnd"/>
      <w:r w:rsidRPr="00CF3178">
        <w:rPr>
          <w:rtl/>
          <w:lang w:eastAsia="he-IL"/>
        </w:rPr>
        <w:t xml:space="preserve">' עד וכמו שנתבאר בסמוך. ר"ל, מיד אחר זה בסעיף ט"ו כתבו המחבר. וא"ת א"כ למה כתבו </w:t>
      </w:r>
      <w:proofErr w:type="spellStart"/>
      <w:r w:rsidRPr="00CF3178">
        <w:rPr>
          <w:rtl/>
          <w:lang w:eastAsia="he-IL"/>
        </w:rPr>
        <w:t>מור"ם</w:t>
      </w:r>
      <w:proofErr w:type="spellEnd"/>
      <w:r w:rsidRPr="00CF3178">
        <w:rPr>
          <w:rtl/>
          <w:lang w:eastAsia="he-IL"/>
        </w:rPr>
        <w:t xml:space="preserve"> כאן. </w:t>
      </w:r>
      <w:proofErr w:type="spellStart"/>
      <w:r w:rsidRPr="00CF3178">
        <w:rPr>
          <w:rtl/>
          <w:lang w:eastAsia="he-IL"/>
        </w:rPr>
        <w:t>י"ל</w:t>
      </w:r>
      <w:proofErr w:type="spellEnd"/>
      <w:r w:rsidRPr="00CF3178">
        <w:rPr>
          <w:rtl/>
          <w:lang w:eastAsia="he-IL"/>
        </w:rPr>
        <w:t xml:space="preserve"> משום שיש לטעות ולפרש </w:t>
      </w:r>
      <w:proofErr w:type="spellStart"/>
      <w:r w:rsidRPr="00CF3178">
        <w:rPr>
          <w:rtl/>
          <w:lang w:eastAsia="he-IL"/>
        </w:rPr>
        <w:t>דמ"ש</w:t>
      </w:r>
      <w:proofErr w:type="spellEnd"/>
      <w:r w:rsidRPr="00CF3178">
        <w:rPr>
          <w:rtl/>
          <w:lang w:eastAsia="he-IL"/>
        </w:rPr>
        <w:t xml:space="preserve"> בסמוך דיש לדקדק בלשון השטר ולא </w:t>
      </w:r>
      <w:proofErr w:type="spellStart"/>
      <w:r w:rsidRPr="00CF3178">
        <w:rPr>
          <w:rtl/>
          <w:lang w:eastAsia="he-IL"/>
        </w:rPr>
        <w:t>אמרינן</w:t>
      </w:r>
      <w:proofErr w:type="spellEnd"/>
      <w:r w:rsidRPr="00CF3178">
        <w:rPr>
          <w:rtl/>
          <w:lang w:eastAsia="he-IL"/>
        </w:rPr>
        <w:t xml:space="preserve"> </w:t>
      </w:r>
      <w:proofErr w:type="spellStart"/>
      <w:r w:rsidRPr="00CF3178">
        <w:rPr>
          <w:rtl/>
          <w:lang w:eastAsia="he-IL"/>
        </w:rPr>
        <w:t>כו</w:t>
      </w:r>
      <w:proofErr w:type="spellEnd"/>
      <w:r w:rsidRPr="00CF3178">
        <w:rPr>
          <w:rtl/>
          <w:lang w:eastAsia="he-IL"/>
        </w:rPr>
        <w:t xml:space="preserve">', ר"ל </w:t>
      </w:r>
      <w:proofErr w:type="spellStart"/>
      <w:r w:rsidRPr="00CF3178">
        <w:rPr>
          <w:rtl/>
          <w:lang w:eastAsia="he-IL"/>
        </w:rPr>
        <w:t>דמדקדקין</w:t>
      </w:r>
      <w:proofErr w:type="spellEnd"/>
      <w:r w:rsidRPr="00CF3178">
        <w:rPr>
          <w:rtl/>
          <w:lang w:eastAsia="he-IL"/>
        </w:rPr>
        <w:t xml:space="preserve"> ולא </w:t>
      </w:r>
      <w:proofErr w:type="spellStart"/>
      <w:r w:rsidRPr="00CF3178">
        <w:rPr>
          <w:rtl/>
          <w:lang w:eastAsia="he-IL"/>
        </w:rPr>
        <w:t>חיישינן</w:t>
      </w:r>
      <w:proofErr w:type="spellEnd"/>
      <w:r w:rsidRPr="00CF3178">
        <w:rPr>
          <w:rtl/>
          <w:lang w:eastAsia="he-IL"/>
        </w:rPr>
        <w:t xml:space="preserve"> </w:t>
      </w:r>
      <w:proofErr w:type="spellStart"/>
      <w:r w:rsidRPr="00CF3178">
        <w:rPr>
          <w:rtl/>
          <w:lang w:eastAsia="he-IL"/>
        </w:rPr>
        <w:t>דהאי</w:t>
      </w:r>
      <w:proofErr w:type="spellEnd"/>
      <w:r w:rsidRPr="00CF3178">
        <w:rPr>
          <w:rtl/>
          <w:lang w:eastAsia="he-IL"/>
        </w:rPr>
        <w:t xml:space="preserve"> גברא לא </w:t>
      </w:r>
      <w:proofErr w:type="spellStart"/>
      <w:r w:rsidRPr="00CF3178">
        <w:rPr>
          <w:rtl/>
          <w:lang w:eastAsia="he-IL"/>
        </w:rPr>
        <w:t>גמיר</w:t>
      </w:r>
      <w:proofErr w:type="spellEnd"/>
      <w:r w:rsidRPr="00CF3178">
        <w:rPr>
          <w:rtl/>
          <w:lang w:eastAsia="he-IL"/>
        </w:rPr>
        <w:t xml:space="preserve">, אבל אם אירע </w:t>
      </w:r>
      <w:proofErr w:type="spellStart"/>
      <w:r w:rsidRPr="00CF3178">
        <w:rPr>
          <w:rtl/>
          <w:lang w:eastAsia="he-IL"/>
        </w:rPr>
        <w:t>דטען</w:t>
      </w:r>
      <w:proofErr w:type="spellEnd"/>
      <w:r w:rsidRPr="00CF3178">
        <w:rPr>
          <w:rtl/>
          <w:lang w:eastAsia="he-IL"/>
        </w:rPr>
        <w:t xml:space="preserve"> כן </w:t>
      </w:r>
      <w:proofErr w:type="spellStart"/>
      <w:r w:rsidRPr="00CF3178">
        <w:rPr>
          <w:rtl/>
          <w:lang w:eastAsia="he-IL"/>
        </w:rPr>
        <w:t>הוה</w:t>
      </w:r>
      <w:proofErr w:type="spellEnd"/>
      <w:r w:rsidRPr="00CF3178">
        <w:rPr>
          <w:rtl/>
          <w:lang w:eastAsia="he-IL"/>
        </w:rPr>
        <w:t xml:space="preserve"> </w:t>
      </w:r>
      <w:proofErr w:type="spellStart"/>
      <w:r w:rsidRPr="00CF3178">
        <w:rPr>
          <w:rtl/>
          <w:lang w:eastAsia="he-IL"/>
        </w:rPr>
        <w:t>אמינא</w:t>
      </w:r>
      <w:proofErr w:type="spellEnd"/>
      <w:r w:rsidRPr="00CF3178">
        <w:rPr>
          <w:rtl/>
          <w:lang w:eastAsia="he-IL"/>
        </w:rPr>
        <w:t xml:space="preserve"> </w:t>
      </w:r>
      <w:proofErr w:type="spellStart"/>
      <w:r w:rsidRPr="00CF3178">
        <w:rPr>
          <w:rtl/>
          <w:lang w:eastAsia="he-IL"/>
        </w:rPr>
        <w:t>דשומעין</w:t>
      </w:r>
      <w:proofErr w:type="spellEnd"/>
      <w:r w:rsidRPr="00CF3178">
        <w:rPr>
          <w:rtl/>
          <w:lang w:eastAsia="he-IL"/>
        </w:rPr>
        <w:t xml:space="preserve"> לו, </w:t>
      </w:r>
      <w:proofErr w:type="spellStart"/>
      <w:r w:rsidRPr="00CF3178">
        <w:rPr>
          <w:rtl/>
          <w:lang w:eastAsia="he-IL"/>
        </w:rPr>
        <w:t>קמל"ן</w:t>
      </w:r>
      <w:proofErr w:type="spellEnd"/>
      <w:r w:rsidRPr="00CF3178">
        <w:rPr>
          <w:rtl/>
          <w:lang w:eastAsia="he-IL"/>
        </w:rPr>
        <w:t xml:space="preserve"> </w:t>
      </w:r>
      <w:proofErr w:type="spellStart"/>
      <w:r w:rsidRPr="00CF3178">
        <w:rPr>
          <w:rtl/>
          <w:lang w:eastAsia="he-IL"/>
        </w:rPr>
        <w:t>מור"ם</w:t>
      </w:r>
      <w:proofErr w:type="spellEnd"/>
      <w:r w:rsidRPr="00CF3178">
        <w:rPr>
          <w:rtl/>
          <w:lang w:eastAsia="he-IL"/>
        </w:rPr>
        <w:t xml:space="preserve"> כאן </w:t>
      </w:r>
      <w:proofErr w:type="spellStart"/>
      <w:r w:rsidRPr="00CF3178">
        <w:rPr>
          <w:rtl/>
          <w:lang w:eastAsia="he-IL"/>
        </w:rPr>
        <w:t>דכמו</w:t>
      </w:r>
      <w:proofErr w:type="spellEnd"/>
      <w:r w:rsidRPr="00CF3178">
        <w:rPr>
          <w:rtl/>
          <w:lang w:eastAsia="he-IL"/>
        </w:rPr>
        <w:t xml:space="preserve"> שמי שטוען על כתובת אשתו שלא הבינה אין </w:t>
      </w:r>
      <w:proofErr w:type="spellStart"/>
      <w:r w:rsidRPr="00CF3178">
        <w:rPr>
          <w:rtl/>
          <w:lang w:eastAsia="he-IL"/>
        </w:rPr>
        <w:t>שומעין</w:t>
      </w:r>
      <w:proofErr w:type="spellEnd"/>
      <w:r w:rsidRPr="00CF3178">
        <w:rPr>
          <w:rtl/>
          <w:lang w:eastAsia="he-IL"/>
        </w:rPr>
        <w:t xml:space="preserve"> לו, כן הדין נמי בשאר דקדוקים, </w:t>
      </w:r>
      <w:proofErr w:type="spellStart"/>
      <w:r w:rsidRPr="00CF3178">
        <w:rPr>
          <w:rtl/>
          <w:lang w:eastAsia="he-IL"/>
        </w:rPr>
        <w:t>וק"ל</w:t>
      </w:r>
      <w:proofErr w:type="spellEnd"/>
      <w:r w:rsidRPr="00CF3178">
        <w:rPr>
          <w:rFonts w:hint="cs"/>
          <w:rtl/>
          <w:lang w:eastAsia="he-IL"/>
        </w:rPr>
        <w:t>"</w:t>
      </w:r>
    </w:p>
    <w:p w14:paraId="6738C7BD" w14:textId="77777777" w:rsidR="00BA19D6" w:rsidRDefault="00BA19D6" w:rsidP="00BA19D6">
      <w:pPr>
        <w:snapToGrid w:val="0"/>
        <w:spacing w:after="120" w:line="276" w:lineRule="auto"/>
        <w:ind w:firstLine="397"/>
        <w:rPr>
          <w:rtl/>
          <w:lang w:eastAsia="he-IL"/>
        </w:rPr>
      </w:pPr>
      <w:r>
        <w:rPr>
          <w:rFonts w:hint="cs"/>
          <w:rtl/>
          <w:lang w:eastAsia="he-IL"/>
        </w:rPr>
        <w:t xml:space="preserve">כלומר אין מקבלים טענת בעל דין לאי הבנה כלשהי בשטר, הן בתוכן השטר בכללותו והן בפרטיו. </w:t>
      </w:r>
    </w:p>
    <w:p w14:paraId="08537DF2" w14:textId="77777777" w:rsidR="00BA19D6" w:rsidRDefault="00BA19D6" w:rsidP="00BA19D6">
      <w:pPr>
        <w:snapToGrid w:val="0"/>
        <w:spacing w:after="120" w:line="276" w:lineRule="auto"/>
        <w:ind w:firstLine="397"/>
        <w:rPr>
          <w:rtl/>
          <w:lang w:eastAsia="he-IL"/>
        </w:rPr>
      </w:pPr>
      <w:proofErr w:type="spellStart"/>
      <w:r>
        <w:rPr>
          <w:rFonts w:hint="cs"/>
          <w:rtl/>
          <w:lang w:eastAsia="he-IL"/>
        </w:rPr>
        <w:t>לנידוננו</w:t>
      </w:r>
      <w:proofErr w:type="spellEnd"/>
      <w:r>
        <w:rPr>
          <w:rFonts w:hint="cs"/>
          <w:rtl/>
          <w:lang w:eastAsia="he-IL"/>
        </w:rPr>
        <w:t xml:space="preserve"> , נסתייע בדברי </w:t>
      </w:r>
      <w:proofErr w:type="spellStart"/>
      <w:r>
        <w:rPr>
          <w:rFonts w:hint="cs"/>
          <w:rtl/>
          <w:lang w:eastAsia="he-IL"/>
        </w:rPr>
        <w:t>הגר"א</w:t>
      </w:r>
      <w:proofErr w:type="spellEnd"/>
      <w:r>
        <w:rPr>
          <w:rFonts w:hint="cs"/>
          <w:rtl/>
          <w:lang w:eastAsia="he-IL"/>
        </w:rPr>
        <w:t xml:space="preserve"> </w:t>
      </w:r>
      <w:r w:rsidRPr="00BA19D6">
        <w:rPr>
          <w:rFonts w:hint="cs"/>
          <w:szCs w:val="24"/>
          <w:rtl/>
          <w:lang w:eastAsia="he-IL"/>
        </w:rPr>
        <w:t xml:space="preserve">(בביאור </w:t>
      </w:r>
      <w:proofErr w:type="spellStart"/>
      <w:r w:rsidRPr="00BA19D6">
        <w:rPr>
          <w:rFonts w:hint="cs"/>
          <w:szCs w:val="24"/>
          <w:rtl/>
          <w:lang w:eastAsia="he-IL"/>
        </w:rPr>
        <w:t>ס"ק</w:t>
      </w:r>
      <w:proofErr w:type="spellEnd"/>
      <w:r w:rsidRPr="00BA19D6">
        <w:rPr>
          <w:rFonts w:hint="cs"/>
          <w:szCs w:val="24"/>
          <w:rtl/>
          <w:lang w:eastAsia="he-IL"/>
        </w:rPr>
        <w:t xml:space="preserve"> ל"ז)</w:t>
      </w:r>
      <w:r>
        <w:rPr>
          <w:rFonts w:hint="cs"/>
          <w:rtl/>
          <w:lang w:eastAsia="he-IL"/>
        </w:rPr>
        <w:t xml:space="preserve">  שענה על הקושיה מדוע הביא זאת </w:t>
      </w:r>
      <w:proofErr w:type="spellStart"/>
      <w:r>
        <w:rPr>
          <w:rFonts w:hint="cs"/>
          <w:rtl/>
          <w:lang w:eastAsia="he-IL"/>
        </w:rPr>
        <w:t>הרמ"א</w:t>
      </w:r>
      <w:proofErr w:type="spellEnd"/>
      <w:r>
        <w:rPr>
          <w:rFonts w:hint="cs"/>
          <w:rtl/>
          <w:lang w:eastAsia="he-IL"/>
        </w:rPr>
        <w:t xml:space="preserve"> כאן, תשובה השייכת לנידון דידן: </w:t>
      </w:r>
    </w:p>
    <w:p w14:paraId="0613700E" w14:textId="77777777" w:rsidR="00BA19D6" w:rsidRPr="00CF3178" w:rsidRDefault="00BA19D6" w:rsidP="00BA19D6">
      <w:pPr>
        <w:pStyle w:val="aa"/>
        <w:rPr>
          <w:i w:val="0"/>
          <w:rtl/>
          <w:lang w:eastAsia="he-IL"/>
        </w:rPr>
      </w:pPr>
      <w:r w:rsidRPr="00CF3178">
        <w:rPr>
          <w:rFonts w:hint="cs"/>
          <w:rtl/>
          <w:lang w:eastAsia="he-IL"/>
        </w:rPr>
        <w:t>"</w:t>
      </w:r>
      <w:r w:rsidRPr="00CF3178">
        <w:rPr>
          <w:rtl/>
          <w:lang w:eastAsia="he-IL"/>
        </w:rPr>
        <w:t xml:space="preserve">וה"ה </w:t>
      </w:r>
      <w:proofErr w:type="spellStart"/>
      <w:r w:rsidRPr="00CF3178">
        <w:rPr>
          <w:rtl/>
          <w:lang w:eastAsia="he-IL"/>
        </w:rPr>
        <w:t>כו</w:t>
      </w:r>
      <w:proofErr w:type="spellEnd"/>
      <w:r w:rsidRPr="00CF3178">
        <w:rPr>
          <w:rtl/>
          <w:lang w:eastAsia="he-IL"/>
        </w:rPr>
        <w:t xml:space="preserve">'. חידש כאן דאף שלא כ' בעצמו והוא ע"ה ולא הבין </w:t>
      </w:r>
      <w:proofErr w:type="spellStart"/>
      <w:r w:rsidRPr="00CF3178">
        <w:rPr>
          <w:rtl/>
          <w:lang w:eastAsia="he-IL"/>
        </w:rPr>
        <w:t>אפ"ה</w:t>
      </w:r>
      <w:proofErr w:type="spellEnd"/>
      <w:r w:rsidRPr="00CF3178">
        <w:rPr>
          <w:rtl/>
          <w:lang w:eastAsia="he-IL"/>
        </w:rPr>
        <w:t xml:space="preserve"> </w:t>
      </w:r>
      <w:proofErr w:type="spellStart"/>
      <w:r w:rsidRPr="00CF3178">
        <w:rPr>
          <w:rtl/>
          <w:lang w:eastAsia="he-IL"/>
        </w:rPr>
        <w:t>מדקדקין</w:t>
      </w:r>
      <w:proofErr w:type="spellEnd"/>
      <w:r w:rsidRPr="00CF3178">
        <w:rPr>
          <w:rtl/>
          <w:lang w:eastAsia="he-IL"/>
        </w:rPr>
        <w:t xml:space="preserve"> מטעם הנ"ל</w:t>
      </w:r>
      <w:r w:rsidRPr="00CF3178">
        <w:rPr>
          <w:rFonts w:hint="cs"/>
          <w:rtl/>
          <w:lang w:eastAsia="he-IL"/>
        </w:rPr>
        <w:t>".</w:t>
      </w:r>
    </w:p>
    <w:p w14:paraId="32BE72F9" w14:textId="77777777" w:rsidR="00BA19D6" w:rsidRDefault="00BA19D6" w:rsidP="00BA19D6">
      <w:pPr>
        <w:snapToGrid w:val="0"/>
        <w:spacing w:after="120" w:line="276" w:lineRule="auto"/>
        <w:ind w:firstLine="397"/>
        <w:rPr>
          <w:rtl/>
          <w:lang w:eastAsia="he-IL"/>
        </w:rPr>
      </w:pPr>
      <w:r>
        <w:rPr>
          <w:rFonts w:hint="cs"/>
          <w:rtl/>
          <w:lang w:eastAsia="he-IL"/>
        </w:rPr>
        <w:t xml:space="preserve">מפורש שגם כשכתבו אחרים עבורו, והוא עצמו עם-הארץ, </w:t>
      </w:r>
      <w:proofErr w:type="spellStart"/>
      <w:r>
        <w:rPr>
          <w:rFonts w:hint="cs"/>
          <w:rtl/>
          <w:lang w:eastAsia="he-IL"/>
        </w:rPr>
        <w:t>אפ"ה</w:t>
      </w:r>
      <w:proofErr w:type="spellEnd"/>
      <w:r>
        <w:rPr>
          <w:rFonts w:hint="cs"/>
          <w:rtl/>
          <w:lang w:eastAsia="he-IL"/>
        </w:rPr>
        <w:t xml:space="preserve"> </w:t>
      </w:r>
      <w:proofErr w:type="spellStart"/>
      <w:r>
        <w:rPr>
          <w:rFonts w:hint="cs"/>
          <w:rtl/>
          <w:lang w:eastAsia="he-IL"/>
        </w:rPr>
        <w:t>מדקדקין</w:t>
      </w:r>
      <w:proofErr w:type="spellEnd"/>
      <w:r>
        <w:rPr>
          <w:rFonts w:hint="cs"/>
          <w:rtl/>
          <w:lang w:eastAsia="he-IL"/>
        </w:rPr>
        <w:t xml:space="preserve"> בלשון השטר. </w:t>
      </w:r>
    </w:p>
    <w:p w14:paraId="4F4D828A" w14:textId="77777777" w:rsidR="00BA19D6" w:rsidRDefault="00BA19D6" w:rsidP="00BA19D6">
      <w:pPr>
        <w:snapToGrid w:val="0"/>
        <w:spacing w:after="120" w:line="276" w:lineRule="auto"/>
        <w:ind w:firstLine="397"/>
        <w:rPr>
          <w:rtl/>
          <w:lang w:eastAsia="he-IL"/>
        </w:rPr>
      </w:pPr>
    </w:p>
    <w:p w14:paraId="6B95B7EE" w14:textId="77777777" w:rsidR="00BA19D6" w:rsidRDefault="00BA19D6" w:rsidP="00BA19D6">
      <w:pPr>
        <w:snapToGrid w:val="0"/>
        <w:spacing w:after="120" w:line="276" w:lineRule="auto"/>
        <w:ind w:firstLine="397"/>
        <w:rPr>
          <w:lang w:eastAsia="he-IL"/>
        </w:rPr>
      </w:pPr>
      <w:proofErr w:type="spellStart"/>
      <w:r>
        <w:rPr>
          <w:rFonts w:hint="cs"/>
          <w:rtl/>
          <w:lang w:eastAsia="he-IL"/>
        </w:rPr>
        <w:t>יב</w:t>
      </w:r>
      <w:proofErr w:type="spellEnd"/>
      <w:r>
        <w:rPr>
          <w:rFonts w:hint="cs"/>
          <w:rtl/>
          <w:lang w:eastAsia="he-IL"/>
        </w:rPr>
        <w:t>. התייחסות לטענות ב"כ הבת</w:t>
      </w:r>
    </w:p>
    <w:p w14:paraId="69BE1075" w14:textId="77777777" w:rsidR="00BA19D6" w:rsidRDefault="00BA19D6" w:rsidP="00BA19D6">
      <w:pPr>
        <w:pStyle w:val="ae"/>
        <w:numPr>
          <w:ilvl w:val="0"/>
          <w:numId w:val="38"/>
        </w:numPr>
      </w:pPr>
      <w:r>
        <w:rPr>
          <w:rFonts w:hint="cs"/>
          <w:rtl/>
        </w:rPr>
        <w:t>בדיונים ובסיכומים טענה [ר</w:t>
      </w:r>
      <w:r>
        <w:rPr>
          <w:rtl/>
        </w:rPr>
        <w:t>'</w:t>
      </w:r>
      <w:r>
        <w:rPr>
          <w:rFonts w:hint="cs"/>
          <w:rtl/>
        </w:rPr>
        <w:t>] וב"כ כי האחות [כ</w:t>
      </w:r>
      <w:r>
        <w:rPr>
          <w:rtl/>
        </w:rPr>
        <w:t>'</w:t>
      </w:r>
      <w:r>
        <w:rPr>
          <w:rFonts w:hint="cs"/>
          <w:rtl/>
        </w:rPr>
        <w:t xml:space="preserve">] היא שעומדת ומממנת את תביעת האב. </w:t>
      </w:r>
    </w:p>
    <w:p w14:paraId="3B8A4108" w14:textId="77777777" w:rsidR="00BA19D6" w:rsidRDefault="00BA19D6" w:rsidP="00BA19D6">
      <w:pPr>
        <w:snapToGrid w:val="0"/>
        <w:spacing w:after="120" w:line="276" w:lineRule="auto"/>
        <w:ind w:firstLine="397"/>
        <w:rPr>
          <w:rtl/>
          <w:lang w:eastAsia="he-IL"/>
        </w:rPr>
      </w:pPr>
      <w:r>
        <w:rPr>
          <w:rFonts w:hint="cs"/>
          <w:rtl/>
          <w:lang w:eastAsia="he-IL"/>
        </w:rPr>
        <w:t>גם אם טענה זו נכונה, אין בכך כל פסול. זכותו של אדם להתייעץ עם מי שיחפוץ וזכותו לקבל עזרה כספית במימון ההליך השיפוטי.</w:t>
      </w:r>
    </w:p>
    <w:p w14:paraId="41ED924B" w14:textId="77777777" w:rsidR="00BA19D6" w:rsidRDefault="00BA19D6" w:rsidP="00BA19D6">
      <w:pPr>
        <w:pStyle w:val="ae"/>
        <w:numPr>
          <w:ilvl w:val="0"/>
          <w:numId w:val="38"/>
        </w:numPr>
      </w:pPr>
      <w:r>
        <w:rPr>
          <w:rFonts w:hint="cs"/>
          <w:rtl/>
        </w:rPr>
        <w:t>עוד נטען כי מאחר שביה"ד במענה לבקשת האב לביטול ההסכם, החליט בתחילה שאין לשמוע את טענתו, מדוע לאחר מכן נקבע מועד דיון באותה תביעה עצמה.</w:t>
      </w:r>
    </w:p>
    <w:p w14:paraId="52121E89" w14:textId="77777777" w:rsidR="00BA19D6" w:rsidRDefault="00BA19D6" w:rsidP="00BA19D6">
      <w:pPr>
        <w:snapToGrid w:val="0"/>
        <w:spacing w:after="120" w:line="276" w:lineRule="auto"/>
        <w:ind w:firstLine="397"/>
        <w:rPr>
          <w:rtl/>
          <w:lang w:eastAsia="he-IL"/>
        </w:rPr>
      </w:pPr>
      <w:r>
        <w:rPr>
          <w:rFonts w:hint="cs"/>
          <w:rtl/>
          <w:lang w:eastAsia="he-IL"/>
        </w:rPr>
        <w:t xml:space="preserve">התשובה לכך בתקנות הדיון תקנה </w:t>
      </w:r>
      <w:proofErr w:type="spellStart"/>
      <w:r>
        <w:rPr>
          <w:rFonts w:hint="cs"/>
          <w:rtl/>
          <w:lang w:eastAsia="he-IL"/>
        </w:rPr>
        <w:t>קכח</w:t>
      </w:r>
      <w:proofErr w:type="spellEnd"/>
      <w:r>
        <w:rPr>
          <w:rFonts w:hint="cs"/>
          <w:rtl/>
          <w:lang w:eastAsia="he-IL"/>
        </w:rPr>
        <w:t xml:space="preserve"> </w:t>
      </w:r>
      <w:r>
        <w:rPr>
          <w:rtl/>
          <w:lang w:eastAsia="he-IL"/>
        </w:rPr>
        <w:t>–</w:t>
      </w:r>
      <w:r>
        <w:rPr>
          <w:rFonts w:hint="cs"/>
          <w:rtl/>
          <w:lang w:eastAsia="he-IL"/>
        </w:rPr>
        <w:t xml:space="preserve"> </w:t>
      </w:r>
    </w:p>
    <w:p w14:paraId="1C2A5F10" w14:textId="77777777" w:rsidR="00BA19D6" w:rsidRPr="00CF3178" w:rsidRDefault="00BA19D6" w:rsidP="00BA19D6">
      <w:pPr>
        <w:pStyle w:val="aa"/>
        <w:rPr>
          <w:i w:val="0"/>
          <w:rtl/>
          <w:lang w:eastAsia="he-IL"/>
        </w:rPr>
      </w:pPr>
      <w:r w:rsidRPr="00CF3178">
        <w:rPr>
          <w:rFonts w:hint="cs"/>
          <w:rtl/>
          <w:lang w:eastAsia="he-IL"/>
        </w:rPr>
        <w:t>"</w:t>
      </w:r>
      <w:r w:rsidRPr="00CF3178">
        <w:rPr>
          <w:rtl/>
          <w:lang w:eastAsia="he-IL"/>
        </w:rPr>
        <w:t>חושש בית-הדין שטעה בפסק-דינו, יזמין את הצדדים לבירור נוסף, ובמקרה זה רשאי בית-הדין לעכב את ביצוע פסק-הדין עד לבירור</w:t>
      </w:r>
      <w:r w:rsidRPr="00CF3178">
        <w:rPr>
          <w:rFonts w:hint="cs"/>
          <w:rtl/>
          <w:lang w:eastAsia="he-IL"/>
        </w:rPr>
        <w:t>".</w:t>
      </w:r>
    </w:p>
    <w:p w14:paraId="208DB4DE" w14:textId="77777777" w:rsidR="00BA19D6" w:rsidRDefault="00BA19D6" w:rsidP="00BA19D6">
      <w:pPr>
        <w:snapToGrid w:val="0"/>
        <w:spacing w:after="120" w:line="276" w:lineRule="auto"/>
        <w:ind w:firstLine="397"/>
        <w:rPr>
          <w:rtl/>
          <w:lang w:eastAsia="he-IL"/>
        </w:rPr>
      </w:pPr>
      <w:r>
        <w:rPr>
          <w:rFonts w:hint="cs"/>
          <w:rtl/>
          <w:lang w:eastAsia="he-IL"/>
        </w:rPr>
        <w:lastRenderedPageBreak/>
        <w:t xml:space="preserve">העולה למעשה מכל האמור: </w:t>
      </w:r>
    </w:p>
    <w:p w14:paraId="77606A22" w14:textId="77777777" w:rsidR="00BA19D6" w:rsidRDefault="00BA19D6" w:rsidP="00BA19D6">
      <w:pPr>
        <w:snapToGrid w:val="0"/>
        <w:spacing w:after="120" w:line="276" w:lineRule="auto"/>
        <w:ind w:firstLine="397"/>
        <w:rPr>
          <w:rtl/>
          <w:lang w:eastAsia="he-IL"/>
        </w:rPr>
      </w:pPr>
      <w:r>
        <w:rPr>
          <w:rFonts w:hint="cs"/>
          <w:rtl/>
          <w:lang w:eastAsia="he-IL"/>
        </w:rPr>
        <w:t xml:space="preserve">תביעת האב מתקבלת. סעיף 6 בהסכם הגירושין מבוטל. המשמעות </w:t>
      </w:r>
      <w:r>
        <w:rPr>
          <w:rtl/>
          <w:lang w:eastAsia="he-IL"/>
        </w:rPr>
        <w:t>–</w:t>
      </w:r>
      <w:r>
        <w:rPr>
          <w:rFonts w:hint="cs"/>
          <w:rtl/>
          <w:lang w:eastAsia="he-IL"/>
        </w:rPr>
        <w:t xml:space="preserve"> הדירה נשואת המחלוקת תיוותר בבעלות שני הצדדים בחלקים שווים: מחצית שייכת לאב, ומחצית שייכת ליורשי המנוחה על פי פסיקת בית המשפט הנכבד הדן בהליך כשרות הצוואה. </w:t>
      </w:r>
    </w:p>
    <w:p w14:paraId="48D4911D" w14:textId="4B0FFB74" w:rsidR="00BA19D6" w:rsidRPr="005E10F5" w:rsidRDefault="00BA19D6" w:rsidP="005E10F5">
      <w:pPr>
        <w:pStyle w:val="aff1"/>
        <w:rPr>
          <w:rtl/>
        </w:rPr>
      </w:pPr>
      <w:r w:rsidRPr="005E10F5">
        <w:rPr>
          <w:rFonts w:hint="cs"/>
          <w:rtl/>
        </w:rPr>
        <w:t xml:space="preserve">הרב אריה אוריאל </w:t>
      </w:r>
      <w:r w:rsidR="005E10F5" w:rsidRPr="005E10F5">
        <w:rPr>
          <w:rFonts w:hint="cs"/>
          <w:rtl/>
        </w:rPr>
        <w:t>-</w:t>
      </w:r>
      <w:r w:rsidRPr="005E10F5">
        <w:rPr>
          <w:rFonts w:hint="cs"/>
          <w:rtl/>
        </w:rPr>
        <w:t xml:space="preserve"> דיין</w:t>
      </w:r>
    </w:p>
    <w:p w14:paraId="1DCFDBA1" w14:textId="77777777" w:rsidR="00BA19D6" w:rsidRDefault="00BA19D6" w:rsidP="00BA19D6">
      <w:pPr>
        <w:pStyle w:val="af"/>
        <w:ind w:firstLine="0"/>
        <w:jc w:val="left"/>
        <w:rPr>
          <w:rtl/>
          <w:lang w:eastAsia="he-IL"/>
        </w:rPr>
      </w:pPr>
    </w:p>
    <w:p w14:paraId="4A297E03" w14:textId="3837A7C3" w:rsidR="00BA19D6" w:rsidRDefault="00BA19D6" w:rsidP="00BA19D6">
      <w:pPr>
        <w:snapToGrid w:val="0"/>
        <w:spacing w:after="120" w:line="276" w:lineRule="auto"/>
        <w:ind w:firstLine="397"/>
        <w:rPr>
          <w:rtl/>
          <w:lang w:eastAsia="he-IL"/>
        </w:rPr>
      </w:pPr>
      <w:r w:rsidRPr="002C2D90">
        <w:rPr>
          <w:rFonts w:hint="cs"/>
          <w:rtl/>
          <w:lang w:eastAsia="he-IL"/>
        </w:rPr>
        <w:t>קראתי בעיון את מ</w:t>
      </w:r>
      <w:r w:rsidR="006310E4">
        <w:rPr>
          <w:rFonts w:hint="cs"/>
          <w:rtl/>
          <w:lang w:eastAsia="he-IL"/>
        </w:rPr>
        <w:t xml:space="preserve">ה שכתב </w:t>
      </w:r>
      <w:r w:rsidRPr="002C2D90">
        <w:rPr>
          <w:rFonts w:hint="cs"/>
          <w:rtl/>
          <w:lang w:eastAsia="he-IL"/>
        </w:rPr>
        <w:t>חברי להרכב הרה"ג אריה אוריאל.</w:t>
      </w:r>
    </w:p>
    <w:p w14:paraId="34D420B7" w14:textId="0D6AD238" w:rsidR="00BA19D6" w:rsidRDefault="00BA19D6" w:rsidP="00BA19D6">
      <w:pPr>
        <w:snapToGrid w:val="0"/>
        <w:spacing w:after="120" w:line="276" w:lineRule="auto"/>
        <w:ind w:firstLine="397"/>
        <w:rPr>
          <w:rtl/>
          <w:lang w:eastAsia="he-IL"/>
        </w:rPr>
      </w:pPr>
      <w:r>
        <w:rPr>
          <w:rFonts w:hint="cs"/>
          <w:rtl/>
          <w:lang w:eastAsia="he-IL"/>
        </w:rPr>
        <w:t>אבקש להעיר על מ</w:t>
      </w:r>
      <w:r w:rsidR="006310E4">
        <w:rPr>
          <w:rFonts w:hint="cs"/>
          <w:rtl/>
          <w:lang w:eastAsia="he-IL"/>
        </w:rPr>
        <w:t>ה שכתב</w:t>
      </w:r>
      <w:r>
        <w:rPr>
          <w:rFonts w:hint="cs"/>
          <w:rtl/>
          <w:lang w:eastAsia="he-IL"/>
        </w:rPr>
        <w:t xml:space="preserve"> לעיל בעמוד 5 וז"ל:</w:t>
      </w:r>
    </w:p>
    <w:p w14:paraId="48F7EE56" w14:textId="77777777" w:rsidR="00BA19D6" w:rsidRDefault="00BA19D6" w:rsidP="00BA19D6">
      <w:pPr>
        <w:pStyle w:val="aa"/>
        <w:rPr>
          <w:rtl/>
          <w:lang w:eastAsia="he-IL"/>
        </w:rPr>
      </w:pPr>
      <w:r>
        <w:rPr>
          <w:rFonts w:hint="cs"/>
          <w:rtl/>
          <w:lang w:eastAsia="he-IL"/>
        </w:rPr>
        <w:t>"</w:t>
      </w:r>
      <w:r w:rsidRPr="002C2D90">
        <w:rPr>
          <w:rFonts w:hint="cs"/>
          <w:rtl/>
          <w:lang w:eastAsia="he-IL"/>
        </w:rPr>
        <w:t xml:space="preserve"> </w:t>
      </w:r>
      <w:r>
        <w:rPr>
          <w:rFonts w:hint="cs"/>
          <w:rtl/>
          <w:lang w:eastAsia="he-IL"/>
        </w:rPr>
        <w:t>אולם עיין ב</w:t>
      </w:r>
      <w:r>
        <w:rPr>
          <w:rtl/>
          <w:lang w:eastAsia="he-IL"/>
        </w:rPr>
        <w:t>שולחן ערוך חושן משפט הלכות מקח וממכר סימן רז סעיף ד</w:t>
      </w:r>
      <w:r>
        <w:rPr>
          <w:rFonts w:hint="cs"/>
          <w:rtl/>
          <w:lang w:eastAsia="he-IL"/>
        </w:rPr>
        <w:t xml:space="preserve">, שדין נותן מתנה שונה מדין מוכר. ובנותן </w:t>
      </w:r>
      <w:proofErr w:type="spellStart"/>
      <w:r>
        <w:rPr>
          <w:rFonts w:hint="cs"/>
          <w:rtl/>
          <w:lang w:eastAsia="he-IL"/>
        </w:rPr>
        <w:t>אמרינן</w:t>
      </w:r>
      <w:proofErr w:type="spellEnd"/>
      <w:r>
        <w:rPr>
          <w:rFonts w:hint="cs"/>
          <w:rtl/>
          <w:lang w:eastAsia="he-IL"/>
        </w:rPr>
        <w:t xml:space="preserve"> דברים שבלב הינם דברים. ז"ל </w:t>
      </w:r>
      <w:proofErr w:type="spellStart"/>
      <w:r>
        <w:rPr>
          <w:rFonts w:hint="cs"/>
          <w:rtl/>
          <w:lang w:eastAsia="he-IL"/>
        </w:rPr>
        <w:t>שו"ע</w:t>
      </w:r>
      <w:proofErr w:type="spellEnd"/>
      <w:r>
        <w:rPr>
          <w:rFonts w:hint="cs"/>
          <w:rtl/>
          <w:lang w:eastAsia="he-IL"/>
        </w:rPr>
        <w:t xml:space="preserve"> שם - </w:t>
      </w:r>
    </w:p>
    <w:p w14:paraId="6A7F3B9F" w14:textId="77777777" w:rsidR="00BA19D6" w:rsidRPr="00CF3178" w:rsidRDefault="00BA19D6" w:rsidP="00BA19D6">
      <w:pPr>
        <w:pStyle w:val="af3"/>
        <w:rPr>
          <w:rtl/>
        </w:rPr>
      </w:pPr>
      <w:r w:rsidRPr="00CF3178">
        <w:rPr>
          <w:rFonts w:hint="cs"/>
          <w:rtl/>
        </w:rPr>
        <w:t>'</w:t>
      </w:r>
      <w:r w:rsidRPr="00CF3178">
        <w:rPr>
          <w:rtl/>
        </w:rPr>
        <w:t xml:space="preserve">אבל המוכר סתם, אף על פי שהיה </w:t>
      </w:r>
      <w:proofErr w:type="spellStart"/>
      <w:r w:rsidRPr="00CF3178">
        <w:rPr>
          <w:rtl/>
        </w:rPr>
        <w:t>בלבו</w:t>
      </w:r>
      <w:proofErr w:type="spellEnd"/>
      <w:r w:rsidRPr="00CF3178">
        <w:rPr>
          <w:rtl/>
        </w:rPr>
        <w:t xml:space="preserve"> שמפני כך וכך הוא מוכר, ואף על פי שנראים הדברים שלא מכר אלא לעשות כך וכך, ולא נעשה, אינו חוזר, שהרי לא פירש,</w:t>
      </w:r>
      <w:r w:rsidRPr="00CF3178">
        <w:rPr>
          <w:rFonts w:hint="cs"/>
          <w:rtl/>
        </w:rPr>
        <w:t xml:space="preserve"> </w:t>
      </w:r>
      <w:r w:rsidRPr="00CF3178">
        <w:rPr>
          <w:rtl/>
        </w:rPr>
        <w:t xml:space="preserve">ודברים שבלב אינם דברים. ואף על פי שקודם מכירה אמר שהוא מוכר על דעת לעשות כך וכך, כיון </w:t>
      </w:r>
      <w:proofErr w:type="spellStart"/>
      <w:r w:rsidRPr="00CF3178">
        <w:rPr>
          <w:rtl/>
        </w:rPr>
        <w:t>דבשעת</w:t>
      </w:r>
      <w:proofErr w:type="spellEnd"/>
      <w:r w:rsidRPr="00CF3178">
        <w:rPr>
          <w:rtl/>
        </w:rPr>
        <w:t xml:space="preserve"> המכירה לא אמר, אינו חוזר. הגה: מיהו אי איכא </w:t>
      </w:r>
      <w:proofErr w:type="spellStart"/>
      <w:r w:rsidRPr="00CF3178">
        <w:rPr>
          <w:rtl/>
        </w:rPr>
        <w:t>אומדנא</w:t>
      </w:r>
      <w:proofErr w:type="spellEnd"/>
      <w:r w:rsidRPr="00CF3178">
        <w:rPr>
          <w:rtl/>
        </w:rPr>
        <w:t xml:space="preserve"> </w:t>
      </w:r>
      <w:proofErr w:type="spellStart"/>
      <w:r w:rsidRPr="00CF3178">
        <w:rPr>
          <w:rtl/>
        </w:rPr>
        <w:t>דמוכח</w:t>
      </w:r>
      <w:proofErr w:type="spellEnd"/>
      <w:r w:rsidRPr="00CF3178">
        <w:rPr>
          <w:rtl/>
        </w:rPr>
        <w:t xml:space="preserve">, נתבטל המקח </w:t>
      </w:r>
      <w:r w:rsidRPr="00BA19D6">
        <w:rPr>
          <w:szCs w:val="24"/>
          <w:rtl/>
        </w:rPr>
        <w:t xml:space="preserve">(תוספות </w:t>
      </w:r>
      <w:proofErr w:type="spellStart"/>
      <w:r w:rsidRPr="00BA19D6">
        <w:rPr>
          <w:szCs w:val="24"/>
          <w:rtl/>
        </w:rPr>
        <w:t>והרא"ש</w:t>
      </w:r>
      <w:proofErr w:type="spellEnd"/>
      <w:r w:rsidRPr="00BA19D6">
        <w:rPr>
          <w:szCs w:val="24"/>
          <w:rtl/>
        </w:rPr>
        <w:t xml:space="preserve"> כלל פ"ה)</w:t>
      </w:r>
      <w:r w:rsidRPr="00CF3178">
        <w:rPr>
          <w:rtl/>
        </w:rPr>
        <w:t xml:space="preserve">. וי"א  </w:t>
      </w:r>
      <w:proofErr w:type="spellStart"/>
      <w:r w:rsidRPr="00CF3178">
        <w:rPr>
          <w:rtl/>
        </w:rPr>
        <w:t>דבמתנה</w:t>
      </w:r>
      <w:proofErr w:type="spellEnd"/>
      <w:r w:rsidRPr="00CF3178">
        <w:rPr>
          <w:rtl/>
        </w:rPr>
        <w:t xml:space="preserve"> דברים שבלב </w:t>
      </w:r>
      <w:proofErr w:type="spellStart"/>
      <w:r w:rsidRPr="00CF3178">
        <w:rPr>
          <w:rtl/>
        </w:rPr>
        <w:t>הויין</w:t>
      </w:r>
      <w:proofErr w:type="spellEnd"/>
      <w:r w:rsidRPr="00CF3178">
        <w:rPr>
          <w:rtl/>
        </w:rPr>
        <w:t xml:space="preserve"> דברים </w:t>
      </w:r>
      <w:r w:rsidRPr="00BA19D6">
        <w:rPr>
          <w:szCs w:val="24"/>
          <w:rtl/>
        </w:rPr>
        <w:t xml:space="preserve">(הגהות אלפסי פ' אלמנה </w:t>
      </w:r>
      <w:proofErr w:type="spellStart"/>
      <w:r w:rsidRPr="00BA19D6">
        <w:rPr>
          <w:szCs w:val="24"/>
          <w:rtl/>
        </w:rPr>
        <w:t>ניזונית</w:t>
      </w:r>
      <w:proofErr w:type="spellEnd"/>
      <w:r w:rsidRPr="00BA19D6">
        <w:rPr>
          <w:szCs w:val="24"/>
          <w:rtl/>
        </w:rPr>
        <w:t>)</w:t>
      </w:r>
      <w:r w:rsidRPr="00CF3178">
        <w:rPr>
          <w:rFonts w:hint="cs"/>
          <w:rtl/>
        </w:rPr>
        <w:t>.'</w:t>
      </w:r>
    </w:p>
    <w:p w14:paraId="2E1F2F8F" w14:textId="77777777" w:rsidR="00BA19D6" w:rsidRPr="0051204F" w:rsidRDefault="00BA19D6" w:rsidP="00BA19D6">
      <w:pPr>
        <w:pStyle w:val="aa"/>
        <w:rPr>
          <w:b/>
          <w:bCs/>
          <w:rtl/>
          <w:lang w:eastAsia="he-IL"/>
        </w:rPr>
      </w:pPr>
      <w:r w:rsidRPr="00663CD7">
        <w:rPr>
          <w:rFonts w:hint="cs"/>
          <w:rtl/>
          <w:lang w:eastAsia="he-IL"/>
        </w:rPr>
        <w:t xml:space="preserve">כלומר ישנם מצבים בהם נאמר כי כל </w:t>
      </w:r>
      <w:r>
        <w:rPr>
          <w:rFonts w:hint="cs"/>
          <w:rtl/>
          <w:lang w:eastAsia="he-IL"/>
        </w:rPr>
        <w:t>ש</w:t>
      </w:r>
      <w:r w:rsidRPr="00663CD7">
        <w:rPr>
          <w:rFonts w:hint="cs"/>
          <w:rtl/>
          <w:lang w:eastAsia="he-IL"/>
        </w:rPr>
        <w:t>הפעולה הותנתה בתנאי מסוים</w:t>
      </w:r>
      <w:r>
        <w:rPr>
          <w:rFonts w:hint="cs"/>
          <w:rtl/>
          <w:lang w:eastAsia="he-IL"/>
        </w:rPr>
        <w:t xml:space="preserve">, ובמתנה, גם אם לא נאמר התנאי במפורש, אך הוא ברור מאליו </w:t>
      </w:r>
      <w:r>
        <w:rPr>
          <w:rtl/>
          <w:lang w:eastAsia="he-IL"/>
        </w:rPr>
        <w:t>–</w:t>
      </w:r>
      <w:r>
        <w:rPr>
          <w:rFonts w:hint="cs"/>
          <w:rtl/>
          <w:lang w:eastAsia="he-IL"/>
        </w:rPr>
        <w:t xml:space="preserve"> התנאי חל. בנידון דידן, אם נאמר שהאיש נתן חלקו במתנה, אף שבלשונו נקט מתנה גמורה, </w:t>
      </w:r>
      <w:proofErr w:type="spellStart"/>
      <w:r>
        <w:rPr>
          <w:rFonts w:hint="cs"/>
          <w:rtl/>
          <w:lang w:eastAsia="he-IL"/>
        </w:rPr>
        <w:t>ובלבו</w:t>
      </w:r>
      <w:proofErr w:type="spellEnd"/>
      <w:r>
        <w:rPr>
          <w:rFonts w:hint="cs"/>
          <w:rtl/>
          <w:lang w:eastAsia="he-IL"/>
        </w:rPr>
        <w:t xml:space="preserve"> חשב שזו מתנה רק אגב הגירושין, הנתינה בטלה. </w:t>
      </w:r>
      <w:r w:rsidRPr="0051204F">
        <w:rPr>
          <w:rFonts w:hint="cs"/>
          <w:b/>
          <w:bCs/>
          <w:rtl/>
          <w:lang w:eastAsia="he-IL"/>
        </w:rPr>
        <w:t>ע"כ הציטוט.</w:t>
      </w:r>
    </w:p>
    <w:p w14:paraId="7D7050E5" w14:textId="77777777" w:rsidR="00BA19D6" w:rsidRDefault="00BA19D6" w:rsidP="00BA19D6">
      <w:pPr>
        <w:snapToGrid w:val="0"/>
        <w:spacing w:after="120" w:line="276" w:lineRule="auto"/>
        <w:ind w:firstLine="397"/>
        <w:rPr>
          <w:rtl/>
          <w:lang w:eastAsia="he-IL"/>
        </w:rPr>
      </w:pPr>
      <w:r>
        <w:rPr>
          <w:rFonts w:hint="cs"/>
          <w:rtl/>
          <w:lang w:eastAsia="he-IL"/>
        </w:rPr>
        <w:t xml:space="preserve">למסקנת הרה"ג אוריאל בנידון דידן המתנה בטלה. אך לענ"ד נראה שנידון דידן תלוי במחלוקת המחבר </w:t>
      </w:r>
      <w:proofErr w:type="spellStart"/>
      <w:r>
        <w:rPr>
          <w:rFonts w:hint="cs"/>
          <w:rtl/>
          <w:lang w:eastAsia="he-IL"/>
        </w:rPr>
        <w:t>והרמ"א</w:t>
      </w:r>
      <w:proofErr w:type="spellEnd"/>
      <w:r>
        <w:rPr>
          <w:rFonts w:hint="cs"/>
          <w:rtl/>
          <w:lang w:eastAsia="he-IL"/>
        </w:rPr>
        <w:t xml:space="preserve">. לדעת המחבר אין הבדל בין מתנה למכר ובשניהם דברים שבלב אינם דברים, ואם לא אמר בשעת המכר או המתנה שזה על תנאי, אע"פ שנראים הדברים שזו כוונתו, המתנה או המכר קיימים. לדעה הראשונה </w:t>
      </w:r>
      <w:proofErr w:type="spellStart"/>
      <w:r>
        <w:rPr>
          <w:rFonts w:hint="cs"/>
          <w:rtl/>
          <w:lang w:eastAsia="he-IL"/>
        </w:rPr>
        <w:t>ברמ"א</w:t>
      </w:r>
      <w:proofErr w:type="spellEnd"/>
      <w:r>
        <w:rPr>
          <w:rFonts w:hint="cs"/>
          <w:rtl/>
          <w:lang w:eastAsia="he-IL"/>
        </w:rPr>
        <w:t xml:space="preserve">, אם יש </w:t>
      </w:r>
      <w:proofErr w:type="spellStart"/>
      <w:r>
        <w:rPr>
          <w:rFonts w:hint="cs"/>
          <w:rtl/>
          <w:lang w:eastAsia="he-IL"/>
        </w:rPr>
        <w:t>אומדנא</w:t>
      </w:r>
      <w:proofErr w:type="spellEnd"/>
      <w:r>
        <w:rPr>
          <w:rFonts w:hint="cs"/>
          <w:rtl/>
          <w:lang w:eastAsia="he-IL"/>
        </w:rPr>
        <w:t xml:space="preserve"> </w:t>
      </w:r>
      <w:proofErr w:type="spellStart"/>
      <w:r>
        <w:rPr>
          <w:rFonts w:hint="cs"/>
          <w:rtl/>
          <w:lang w:eastAsia="he-IL"/>
        </w:rPr>
        <w:t>דמוכח</w:t>
      </w:r>
      <w:proofErr w:type="spellEnd"/>
      <w:r>
        <w:rPr>
          <w:rFonts w:hint="cs"/>
          <w:rtl/>
          <w:lang w:eastAsia="he-IL"/>
        </w:rPr>
        <w:t xml:space="preserve"> המקח בטל, ולדעה </w:t>
      </w:r>
      <w:proofErr w:type="spellStart"/>
      <w:r>
        <w:rPr>
          <w:rFonts w:hint="cs"/>
          <w:rtl/>
          <w:lang w:eastAsia="he-IL"/>
        </w:rPr>
        <w:t>השניה</w:t>
      </w:r>
      <w:proofErr w:type="spellEnd"/>
      <w:r>
        <w:rPr>
          <w:rFonts w:hint="cs"/>
          <w:rtl/>
          <w:lang w:eastAsia="he-IL"/>
        </w:rPr>
        <w:t xml:space="preserve"> במתנה דברים שבלב הוי דברים.</w:t>
      </w:r>
    </w:p>
    <w:p w14:paraId="58DC5A20" w14:textId="77777777" w:rsidR="00BA19D6" w:rsidRDefault="00BA19D6" w:rsidP="00BA19D6">
      <w:pPr>
        <w:snapToGrid w:val="0"/>
        <w:spacing w:after="120" w:line="276" w:lineRule="auto"/>
        <w:ind w:firstLine="397"/>
        <w:rPr>
          <w:rtl/>
          <w:lang w:eastAsia="he-IL"/>
        </w:rPr>
      </w:pPr>
      <w:r>
        <w:rPr>
          <w:rFonts w:hint="cs"/>
          <w:rtl/>
          <w:lang w:eastAsia="he-IL"/>
        </w:rPr>
        <w:t xml:space="preserve">הצדדים בתיק זה הם בני עדות המזרח שקבלו את פסקי </w:t>
      </w:r>
      <w:proofErr w:type="spellStart"/>
      <w:r>
        <w:rPr>
          <w:rFonts w:hint="cs"/>
          <w:rtl/>
          <w:lang w:eastAsia="he-IL"/>
        </w:rPr>
        <w:t>השו"ע</w:t>
      </w:r>
      <w:proofErr w:type="spellEnd"/>
      <w:r>
        <w:rPr>
          <w:rFonts w:hint="cs"/>
          <w:rtl/>
          <w:lang w:eastAsia="he-IL"/>
        </w:rPr>
        <w:t xml:space="preserve"> להלכה, ולדבריו המתנה קיימת.</w:t>
      </w:r>
    </w:p>
    <w:p w14:paraId="187A5E0F" w14:textId="77777777" w:rsidR="00BA19D6" w:rsidRDefault="00BA19D6" w:rsidP="00BA19D6">
      <w:pPr>
        <w:snapToGrid w:val="0"/>
        <w:spacing w:after="120" w:line="276" w:lineRule="auto"/>
        <w:ind w:firstLine="397"/>
        <w:rPr>
          <w:rtl/>
          <w:lang w:eastAsia="he-IL"/>
        </w:rPr>
      </w:pPr>
      <w:r w:rsidRPr="00BA19D6">
        <w:rPr>
          <w:rFonts w:hint="cs"/>
          <w:szCs w:val="24"/>
          <w:rtl/>
          <w:lang w:eastAsia="he-IL"/>
        </w:rPr>
        <w:t xml:space="preserve">(בדעת </w:t>
      </w:r>
      <w:proofErr w:type="spellStart"/>
      <w:r w:rsidRPr="00BA19D6">
        <w:rPr>
          <w:rFonts w:hint="cs"/>
          <w:szCs w:val="24"/>
          <w:rtl/>
          <w:lang w:eastAsia="he-IL"/>
        </w:rPr>
        <w:t>הרמ"א</w:t>
      </w:r>
      <w:proofErr w:type="spellEnd"/>
      <w:r w:rsidRPr="00BA19D6">
        <w:rPr>
          <w:rFonts w:hint="cs"/>
          <w:szCs w:val="24"/>
          <w:rtl/>
          <w:lang w:eastAsia="he-IL"/>
        </w:rPr>
        <w:t xml:space="preserve"> דנו הפוסקים לפי איזו שיטה יש לפסוק </w:t>
      </w:r>
      <w:proofErr w:type="spellStart"/>
      <w:r w:rsidRPr="00BA19D6">
        <w:rPr>
          <w:rFonts w:hint="cs"/>
          <w:szCs w:val="24"/>
          <w:rtl/>
          <w:lang w:eastAsia="he-IL"/>
        </w:rPr>
        <w:t>ברמ"א</w:t>
      </w:r>
      <w:proofErr w:type="spellEnd"/>
      <w:r w:rsidRPr="00BA19D6">
        <w:rPr>
          <w:rFonts w:hint="cs"/>
          <w:szCs w:val="24"/>
          <w:rtl/>
          <w:lang w:eastAsia="he-IL"/>
        </w:rPr>
        <w:t xml:space="preserve">. </w:t>
      </w:r>
      <w:proofErr w:type="spellStart"/>
      <w:r w:rsidRPr="00BA19D6">
        <w:rPr>
          <w:rFonts w:hint="cs"/>
          <w:szCs w:val="24"/>
          <w:rtl/>
          <w:lang w:eastAsia="he-IL"/>
        </w:rPr>
        <w:t>יעוין</w:t>
      </w:r>
      <w:proofErr w:type="spellEnd"/>
      <w:r w:rsidRPr="00BA19D6">
        <w:rPr>
          <w:rFonts w:hint="cs"/>
          <w:szCs w:val="24"/>
          <w:rtl/>
          <w:lang w:eastAsia="he-IL"/>
        </w:rPr>
        <w:t xml:space="preserve"> בפס"ד של ביה"ד הגדול בתיק מס' 1312042/4)</w:t>
      </w:r>
      <w:r>
        <w:rPr>
          <w:rFonts w:hint="cs"/>
          <w:rtl/>
          <w:lang w:eastAsia="he-IL"/>
        </w:rPr>
        <w:t>.</w:t>
      </w:r>
    </w:p>
    <w:p w14:paraId="29773686" w14:textId="77777777" w:rsidR="00BA19D6" w:rsidRDefault="00BA19D6" w:rsidP="00BA19D6">
      <w:pPr>
        <w:snapToGrid w:val="0"/>
        <w:spacing w:after="120" w:line="276" w:lineRule="auto"/>
        <w:ind w:firstLine="397"/>
        <w:rPr>
          <w:rtl/>
          <w:lang w:eastAsia="he-IL"/>
        </w:rPr>
      </w:pPr>
      <w:r>
        <w:rPr>
          <w:rFonts w:hint="cs"/>
          <w:rtl/>
          <w:lang w:eastAsia="he-IL"/>
        </w:rPr>
        <w:t>לאחר העיון  בנימוקים הנוספים אני מצטרף למסקנות.</w:t>
      </w:r>
    </w:p>
    <w:p w14:paraId="5D737AAF" w14:textId="08F54046" w:rsidR="00BA19D6" w:rsidRPr="006310E4" w:rsidRDefault="00BA19D6" w:rsidP="006310E4">
      <w:pPr>
        <w:pStyle w:val="aff1"/>
        <w:rPr>
          <w:rtl/>
        </w:rPr>
      </w:pPr>
      <w:r w:rsidRPr="006310E4">
        <w:rPr>
          <w:rFonts w:hint="cs"/>
          <w:rtl/>
        </w:rPr>
        <w:t xml:space="preserve">הרב צבי בירנבאום </w:t>
      </w:r>
      <w:r w:rsidR="006310E4" w:rsidRPr="006310E4">
        <w:rPr>
          <w:rFonts w:hint="cs"/>
          <w:rtl/>
        </w:rPr>
        <w:t>-</w:t>
      </w:r>
      <w:r w:rsidRPr="006310E4">
        <w:rPr>
          <w:rFonts w:hint="cs"/>
          <w:rtl/>
        </w:rPr>
        <w:t xml:space="preserve"> אב"ד </w:t>
      </w:r>
    </w:p>
    <w:p w14:paraId="32367AC5" w14:textId="77777777" w:rsidR="00BA19D6" w:rsidRDefault="00BA19D6" w:rsidP="00BA19D6">
      <w:pPr>
        <w:snapToGrid w:val="0"/>
        <w:spacing w:after="120" w:line="276" w:lineRule="auto"/>
        <w:ind w:firstLine="397"/>
        <w:rPr>
          <w:b/>
          <w:bCs/>
          <w:rtl/>
          <w:lang w:eastAsia="he-IL"/>
        </w:rPr>
      </w:pPr>
      <w:r w:rsidRPr="00CF3178">
        <w:rPr>
          <w:rFonts w:hint="cs"/>
          <w:rtl/>
          <w:lang w:eastAsia="he-IL"/>
        </w:rPr>
        <w:t>מצטרף למסקנות.</w:t>
      </w:r>
      <w:r>
        <w:rPr>
          <w:rFonts w:hint="cs"/>
          <w:rtl/>
          <w:lang w:eastAsia="he-IL"/>
        </w:rPr>
        <w:t xml:space="preserve"> </w:t>
      </w:r>
    </w:p>
    <w:p w14:paraId="6F10A052" w14:textId="740A6F2F" w:rsidR="00BA19D6" w:rsidRPr="006310E4" w:rsidRDefault="00BA19D6" w:rsidP="006310E4">
      <w:pPr>
        <w:pStyle w:val="aff1"/>
        <w:rPr>
          <w:rtl/>
        </w:rPr>
      </w:pPr>
      <w:r w:rsidRPr="006310E4">
        <w:rPr>
          <w:rFonts w:hint="cs"/>
          <w:rtl/>
        </w:rPr>
        <w:t xml:space="preserve">הרב נפתלי </w:t>
      </w:r>
      <w:proofErr w:type="spellStart"/>
      <w:r w:rsidRPr="006310E4">
        <w:rPr>
          <w:rFonts w:hint="cs"/>
          <w:rtl/>
        </w:rPr>
        <w:t>הייזלר</w:t>
      </w:r>
      <w:proofErr w:type="spellEnd"/>
      <w:r w:rsidRPr="006310E4">
        <w:rPr>
          <w:rFonts w:hint="cs"/>
          <w:rtl/>
        </w:rPr>
        <w:t xml:space="preserve">  - דיין</w:t>
      </w:r>
    </w:p>
    <w:p w14:paraId="6BE351F0" w14:textId="77777777" w:rsidR="00BA19D6" w:rsidRPr="00CD4289" w:rsidRDefault="00000000" w:rsidP="00BA19D6">
      <w:pPr>
        <w:pStyle w:val="af"/>
        <w:ind w:firstLine="0"/>
        <w:jc w:val="left"/>
        <w:rPr>
          <w:rtl/>
          <w:lang w:eastAsia="he-IL"/>
        </w:rPr>
      </w:pPr>
      <w:sdt>
        <w:sdtPr>
          <w:rPr>
            <w:rFonts w:hint="cs"/>
            <w:rtl/>
          </w:rPr>
          <w:alias w:val="DecisionAllowedPublish"/>
          <w:tag w:val="DecisionAllowedPublish"/>
          <w:id w:val="-1876066534"/>
          <w:placeholder>
            <w:docPart w:val="5D46D97B1B694DCA9847D0136FC448F2"/>
          </w:placeholder>
          <w:text w:multiLine="1"/>
        </w:sdtPr>
        <w:sdtContent>
          <w:r w:rsidR="00BA19D6">
            <w:rPr>
              <w:rFonts w:hint="cs"/>
              <w:rtl/>
            </w:rPr>
            <w:t xml:space="preserve"> </w:t>
          </w:r>
        </w:sdtContent>
      </w:sdt>
    </w:p>
    <w:p w14:paraId="34E04438" w14:textId="3D75515F" w:rsidR="00BA19D6" w:rsidRPr="005E10F5" w:rsidRDefault="00BA19D6" w:rsidP="005E10F5">
      <w:pPr>
        <w:snapToGrid w:val="0"/>
        <w:spacing w:after="120" w:line="276" w:lineRule="auto"/>
        <w:ind w:firstLine="397"/>
        <w:rPr>
          <w:sz w:val="28"/>
          <w:rtl/>
        </w:rPr>
      </w:pPr>
      <w:r w:rsidRPr="00C21A6A">
        <w:rPr>
          <w:rFonts w:hint="cs"/>
          <w:rtl/>
          <w:lang w:eastAsia="he-IL"/>
        </w:rPr>
        <w:lastRenderedPageBreak/>
        <w:t>ניתן</w:t>
      </w:r>
      <w:r w:rsidRPr="007406B6">
        <w:rPr>
          <w:rFonts w:hint="cs"/>
          <w:sz w:val="28"/>
          <w:rtl/>
        </w:rPr>
        <w:t xml:space="preserve"> ביום </w:t>
      </w:r>
      <w:sdt>
        <w:sdtPr>
          <w:rPr>
            <w:sz w:val="28"/>
            <w:rtl/>
          </w:rPr>
          <w:alias w:val="SignatureHebDate"/>
          <w:tag w:val="SignatureHebDate"/>
          <w:id w:val="1979730491"/>
          <w:placeholder>
            <w:docPart w:val="5880C26FEE984438BA56C7DC973B9C3F"/>
          </w:placeholder>
        </w:sdtPr>
        <w:sdtContent>
          <w:r>
            <w:rPr>
              <w:sz w:val="28"/>
              <w:rtl/>
            </w:rPr>
            <w:t xml:space="preserve">ט' באלול </w:t>
          </w:r>
          <w:proofErr w:type="spellStart"/>
          <w:r>
            <w:rPr>
              <w:sz w:val="28"/>
              <w:rtl/>
            </w:rPr>
            <w:t>התשפ"ד</w:t>
          </w:r>
          <w:proofErr w:type="spellEnd"/>
        </w:sdtContent>
      </w:sdt>
      <w:r w:rsidRPr="007406B6">
        <w:rPr>
          <w:rFonts w:hint="cs"/>
          <w:sz w:val="28"/>
          <w:rtl/>
        </w:rPr>
        <w:t xml:space="preserve"> </w:t>
      </w:r>
      <w:r w:rsidRPr="006310E4">
        <w:rPr>
          <w:rFonts w:hint="cs"/>
          <w:sz w:val="24"/>
          <w:szCs w:val="24"/>
          <w:rtl/>
        </w:rPr>
        <w:t>(</w:t>
      </w:r>
      <w:sdt>
        <w:sdtPr>
          <w:rPr>
            <w:sz w:val="24"/>
            <w:szCs w:val="24"/>
            <w:rtl/>
          </w:rPr>
          <w:alias w:val="SignatureDate"/>
          <w:tag w:val="SignatureDate"/>
          <w:id w:val="-76207639"/>
          <w:placeholder>
            <w:docPart w:val="CFFFE7ADA1B6423489987930F9287A20"/>
          </w:placeholder>
        </w:sdtPr>
        <w:sdtContent>
          <w:r w:rsidRPr="006310E4">
            <w:rPr>
              <w:sz w:val="24"/>
              <w:szCs w:val="24"/>
              <w:rtl/>
            </w:rPr>
            <w:t>12/09/2024</w:t>
          </w:r>
        </w:sdtContent>
      </w:sdt>
      <w:r w:rsidRPr="006310E4">
        <w:rPr>
          <w:rFonts w:hint="cs"/>
          <w:sz w:val="24"/>
          <w:szCs w:val="24"/>
          <w:rtl/>
        </w:rPr>
        <w:t>).</w:t>
      </w:r>
    </w:p>
    <w:tbl>
      <w:tblPr>
        <w:tblStyle w:val="TableGrid1"/>
        <w:bidiVisual/>
        <w:tblW w:w="84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6"/>
        <w:gridCol w:w="2954"/>
        <w:gridCol w:w="2552"/>
      </w:tblGrid>
      <w:tr w:rsidR="00BA19D6" w:rsidRPr="0061526B" w14:paraId="36852DA7" w14:textId="77777777" w:rsidTr="00E10B47">
        <w:trPr>
          <w:trHeight w:val="291"/>
          <w:jc w:val="center"/>
        </w:trPr>
        <w:sdt>
          <w:sdtPr>
            <w:rPr>
              <w:sz w:val="40"/>
              <w:rtl/>
            </w:rPr>
            <w:tag w:val="MainJudgeSignature"/>
            <w:id w:val="368939586"/>
            <w:placeholder>
              <w:docPart w:val="BB272551832A484F811A649E53011E49"/>
            </w:placeholder>
          </w:sdtPr>
          <w:sdtContent>
            <w:tc>
              <w:tcPr>
                <w:tcW w:w="2946" w:type="dxa"/>
              </w:tcPr>
              <w:p w14:paraId="1AA5E021" w14:textId="77777777" w:rsidR="00BA19D6" w:rsidRPr="0061526B" w:rsidRDefault="00BA19D6" w:rsidP="00E10B47">
                <w:pPr>
                  <w:ind w:right="-459"/>
                  <w:jc w:val="center"/>
                  <w:rPr>
                    <w:rFonts w:cs="David"/>
                    <w:sz w:val="40"/>
                    <w:szCs w:val="24"/>
                    <w:rtl/>
                  </w:rPr>
                </w:pPr>
                <w:r w:rsidRPr="0061526B">
                  <w:rPr>
                    <w:rFonts w:hint="cs"/>
                    <w:sz w:val="40"/>
                    <w:rtl/>
                  </w:rPr>
                  <w:t xml:space="preserve"> </w:t>
                </w:r>
              </w:p>
            </w:tc>
          </w:sdtContent>
        </w:sdt>
        <w:sdt>
          <w:sdtPr>
            <w:rPr>
              <w:sz w:val="40"/>
              <w:rtl/>
            </w:rPr>
            <w:tag w:val="Judge1Signature"/>
            <w:id w:val="755945512"/>
            <w:placeholder>
              <w:docPart w:val="6A3FEB00667244B4A46180494FC683D3"/>
            </w:placeholder>
          </w:sdtPr>
          <w:sdtContent>
            <w:tc>
              <w:tcPr>
                <w:tcW w:w="2954" w:type="dxa"/>
              </w:tcPr>
              <w:p w14:paraId="689405E9" w14:textId="77777777" w:rsidR="00BA19D6" w:rsidRPr="0061526B" w:rsidRDefault="00BA19D6" w:rsidP="00E10B47">
                <w:pPr>
                  <w:ind w:right="-459"/>
                  <w:jc w:val="center"/>
                  <w:rPr>
                    <w:rFonts w:cs="David"/>
                    <w:sz w:val="40"/>
                    <w:szCs w:val="24"/>
                    <w:rtl/>
                  </w:rPr>
                </w:pPr>
                <w:r w:rsidRPr="0061526B">
                  <w:rPr>
                    <w:rFonts w:hint="cs"/>
                    <w:sz w:val="40"/>
                    <w:rtl/>
                  </w:rPr>
                  <w:t xml:space="preserve"> </w:t>
                </w:r>
              </w:p>
            </w:tc>
          </w:sdtContent>
        </w:sdt>
        <w:sdt>
          <w:sdtPr>
            <w:rPr>
              <w:sz w:val="40"/>
              <w:rtl/>
            </w:rPr>
            <w:tag w:val="Judge2Signature"/>
            <w:id w:val="-200247340"/>
            <w:placeholder>
              <w:docPart w:val="58B06DE4CD0F43BE9B7960E8E9E8A1F5"/>
            </w:placeholder>
          </w:sdtPr>
          <w:sdtContent>
            <w:tc>
              <w:tcPr>
                <w:tcW w:w="2552" w:type="dxa"/>
              </w:tcPr>
              <w:p w14:paraId="11B3B721" w14:textId="77777777" w:rsidR="00BA19D6" w:rsidRPr="0061526B" w:rsidRDefault="00BA19D6" w:rsidP="00E10B47">
                <w:pPr>
                  <w:ind w:right="-459"/>
                  <w:jc w:val="center"/>
                  <w:rPr>
                    <w:rFonts w:cs="David"/>
                    <w:sz w:val="40"/>
                    <w:szCs w:val="24"/>
                    <w:rtl/>
                  </w:rPr>
                </w:pPr>
                <w:r w:rsidRPr="0061526B">
                  <w:rPr>
                    <w:rFonts w:hint="cs"/>
                    <w:sz w:val="40"/>
                    <w:rtl/>
                  </w:rPr>
                  <w:t xml:space="preserve"> </w:t>
                </w:r>
              </w:p>
            </w:tc>
          </w:sdtContent>
        </w:sdt>
      </w:tr>
      <w:tr w:rsidR="00BA19D6" w:rsidRPr="0061526B" w14:paraId="3407C1CB" w14:textId="77777777" w:rsidTr="00E10B47">
        <w:trPr>
          <w:trHeight w:val="274"/>
          <w:jc w:val="center"/>
        </w:trPr>
        <w:tc>
          <w:tcPr>
            <w:tcW w:w="2946" w:type="dxa"/>
          </w:tcPr>
          <w:p w14:paraId="2E353024" w14:textId="1D0FA9AB" w:rsidR="00BA19D6" w:rsidRPr="0061526B" w:rsidRDefault="00BA19D6" w:rsidP="00E10B47">
            <w:pPr>
              <w:pStyle w:val="aff1"/>
              <w:spacing w:after="0" w:line="240" w:lineRule="auto"/>
              <w:rPr>
                <w:sz w:val="40"/>
                <w:rtl/>
              </w:rPr>
            </w:pPr>
            <w:r w:rsidRPr="00CF3178">
              <w:rPr>
                <w:rFonts w:ascii="Times New Roman" w:hAnsi="Times New Roman" w:hint="cs"/>
                <w:rtl/>
                <w:lang w:eastAsia="he-IL"/>
              </w:rPr>
              <w:t xml:space="preserve">הרב צבי בירנבאום </w:t>
            </w:r>
            <w:r w:rsidR="006310E4">
              <w:rPr>
                <w:rFonts w:ascii="Times New Roman" w:hAnsi="Times New Roman" w:hint="cs"/>
                <w:rtl/>
                <w:lang w:eastAsia="he-IL"/>
              </w:rPr>
              <w:t>-</w:t>
            </w:r>
            <w:r w:rsidRPr="00CF3178">
              <w:rPr>
                <w:rFonts w:ascii="Times New Roman" w:hAnsi="Times New Roman" w:hint="cs"/>
                <w:rtl/>
                <w:lang w:eastAsia="he-IL"/>
              </w:rPr>
              <w:t xml:space="preserve"> אב"ד</w:t>
            </w:r>
          </w:p>
        </w:tc>
        <w:sdt>
          <w:sdtPr>
            <w:rPr>
              <w:rFonts w:cs="David"/>
              <w:sz w:val="40"/>
              <w:szCs w:val="24"/>
              <w:rtl/>
            </w:rPr>
            <w:tag w:val="Judge1"/>
            <w:id w:val="1342350015"/>
            <w:placeholder>
              <w:docPart w:val="F37139A9CA654C50B8D58E71FB38ACC1"/>
            </w:placeholder>
            <w:temporary/>
          </w:sdtPr>
          <w:sdtContent>
            <w:tc>
              <w:tcPr>
                <w:tcW w:w="2954" w:type="dxa"/>
              </w:tcPr>
              <w:p w14:paraId="4984B210" w14:textId="77777777" w:rsidR="00BA19D6" w:rsidRPr="0061526B" w:rsidRDefault="00BA19D6" w:rsidP="00E10B47">
                <w:pPr>
                  <w:pStyle w:val="aff1"/>
                  <w:spacing w:after="0" w:line="240" w:lineRule="auto"/>
                  <w:rPr>
                    <w:rFonts w:cs="David"/>
                    <w:sz w:val="40"/>
                    <w:szCs w:val="24"/>
                    <w:rtl/>
                  </w:rPr>
                </w:pPr>
                <w:r w:rsidRPr="0061526B">
                  <w:rPr>
                    <w:rFonts w:hint="cs"/>
                    <w:sz w:val="40"/>
                    <w:rtl/>
                  </w:rPr>
                  <w:t>הרב אריה אוריאל</w:t>
                </w:r>
              </w:p>
            </w:tc>
          </w:sdtContent>
        </w:sdt>
        <w:sdt>
          <w:sdtPr>
            <w:rPr>
              <w:rFonts w:cs="David"/>
              <w:sz w:val="40"/>
              <w:szCs w:val="24"/>
              <w:rtl/>
            </w:rPr>
            <w:tag w:val="Judge2"/>
            <w:id w:val="-313030371"/>
            <w:placeholder>
              <w:docPart w:val="F37139A9CA654C50B8D58E71FB38ACC1"/>
            </w:placeholder>
            <w:temporary/>
          </w:sdtPr>
          <w:sdtContent>
            <w:tc>
              <w:tcPr>
                <w:tcW w:w="2552" w:type="dxa"/>
              </w:tcPr>
              <w:p w14:paraId="02AFF99E" w14:textId="77777777" w:rsidR="00BA19D6" w:rsidRPr="0061526B" w:rsidRDefault="00BA19D6" w:rsidP="00E10B47">
                <w:pPr>
                  <w:pStyle w:val="aff1"/>
                  <w:spacing w:after="0" w:line="240" w:lineRule="auto"/>
                  <w:rPr>
                    <w:rFonts w:cs="David"/>
                    <w:sz w:val="40"/>
                    <w:szCs w:val="24"/>
                    <w:rtl/>
                  </w:rPr>
                </w:pPr>
                <w:r w:rsidRPr="0061526B">
                  <w:rPr>
                    <w:rFonts w:hint="cs"/>
                    <w:sz w:val="40"/>
                    <w:rtl/>
                  </w:rPr>
                  <w:t xml:space="preserve">הרב נפתלי </w:t>
                </w:r>
                <w:proofErr w:type="spellStart"/>
                <w:r w:rsidRPr="0061526B">
                  <w:rPr>
                    <w:rFonts w:hint="cs"/>
                    <w:sz w:val="40"/>
                    <w:rtl/>
                  </w:rPr>
                  <w:t>הייזלר</w:t>
                </w:r>
                <w:proofErr w:type="spellEnd"/>
              </w:p>
            </w:tc>
          </w:sdtContent>
        </w:sdt>
      </w:tr>
    </w:tbl>
    <w:p w14:paraId="28A266B6" w14:textId="77777777" w:rsidR="00BA19D6" w:rsidRPr="00A86E38" w:rsidRDefault="00000000" w:rsidP="00BA19D6">
      <w:pPr>
        <w:pStyle w:val="af"/>
        <w:ind w:firstLine="0"/>
        <w:rPr>
          <w:rtl/>
          <w:lang w:eastAsia="he-IL"/>
        </w:rPr>
      </w:pPr>
      <w:sdt>
        <w:sdtPr>
          <w:rPr>
            <w:color w:val="808080"/>
            <w:sz w:val="24"/>
            <w:szCs w:val="24"/>
            <w:rtl/>
          </w:rPr>
          <w:alias w:val="GeneralSignature"/>
          <w:tag w:val="GeneralSignature"/>
          <w:id w:val="2135523919"/>
          <w:placeholder>
            <w:docPart w:val="C15906E138A74247A5D94C53A2BE2966"/>
          </w:placeholder>
        </w:sdtPr>
        <w:sdtContent>
          <w:r w:rsidR="00BA19D6">
            <w:rPr>
              <w:color w:val="808080"/>
              <w:sz w:val="24"/>
              <w:szCs w:val="24"/>
            </w:rPr>
            <w:t xml:space="preserve"> </w:t>
          </w:r>
        </w:sdtContent>
      </w:sdt>
    </w:p>
    <w:p w14:paraId="274E4A4E" w14:textId="77777777" w:rsidR="00BA19D6" w:rsidRDefault="00BA19D6" w:rsidP="00BA19D6">
      <w:pPr>
        <w:pStyle w:val="af"/>
        <w:ind w:firstLine="0"/>
        <w:rPr>
          <w:rtl/>
          <w:lang w:eastAsia="he-IL"/>
        </w:rPr>
      </w:pPr>
    </w:p>
    <w:p w14:paraId="48B1E5AB" w14:textId="77777777" w:rsidR="00BA19D6" w:rsidRDefault="00BA19D6" w:rsidP="00BA19D6">
      <w:pPr>
        <w:pStyle w:val="ae"/>
        <w:rPr>
          <w:rtl/>
        </w:rPr>
      </w:pPr>
    </w:p>
    <w:p w14:paraId="33106D67" w14:textId="0A342B59" w:rsidR="00BA19D6" w:rsidRDefault="002E0AB4" w:rsidP="005E10F5">
      <w:pPr>
        <w:pStyle w:val="ae"/>
        <w:rPr>
          <w:rtl/>
        </w:rPr>
      </w:pPr>
      <w:r>
        <w:rPr>
          <w:rFonts w:hint="cs"/>
          <w:rtl/>
        </w:rPr>
        <w:t>פ</w:t>
      </w:r>
      <w:r w:rsidR="00BA19D6">
        <w:rPr>
          <w:rFonts w:hint="cs"/>
          <w:rtl/>
        </w:rPr>
        <w:t>ס"ד דלהלן ניתן כפס"ד משלים בעקבות ערעור על פס"ד הנ"ל לביה"ד הגדול:</w:t>
      </w:r>
    </w:p>
    <w:p w14:paraId="6C754153" w14:textId="77777777" w:rsidR="005E10F5" w:rsidRPr="005E10F5" w:rsidRDefault="005E10F5" w:rsidP="005E10F5">
      <w:pPr>
        <w:pStyle w:val="af"/>
        <w:rPr>
          <w:rtl/>
          <w:lang w:eastAsia="he-IL"/>
        </w:rPr>
      </w:pPr>
    </w:p>
    <w:p w14:paraId="3ABC2AD1" w14:textId="1C3B8956" w:rsidR="006E7140" w:rsidRPr="00D93CE5" w:rsidRDefault="006E7140" w:rsidP="003D0A52">
      <w:pPr>
        <w:pStyle w:val="ae"/>
      </w:pPr>
      <w:r w:rsidRPr="00D93CE5">
        <w:rPr>
          <w:rFonts w:hint="cs"/>
          <w:rtl/>
        </w:rPr>
        <w:t>ב"ה</w:t>
      </w:r>
    </w:p>
    <w:p w14:paraId="5FC36C90" w14:textId="79A32705" w:rsidR="006E7140" w:rsidRPr="003D0A52" w:rsidRDefault="006E7140" w:rsidP="003D0A52">
      <w:pPr>
        <w:pStyle w:val="aff9"/>
        <w:rPr>
          <w:rtl/>
        </w:rPr>
      </w:pPr>
      <w:r w:rsidRPr="003D0A52">
        <w:rPr>
          <w:rFonts w:hint="cs"/>
          <w:rtl/>
        </w:rPr>
        <w:t xml:space="preserve">תיק </w:t>
      </w:r>
      <w:r w:rsidRPr="003D0A52">
        <w:rPr>
          <w:rtl/>
        </w:rPr>
        <w:t>‏</w:t>
      </w:r>
      <w:r w:rsidR="00C97EDD">
        <w:rPr>
          <w:rFonts w:hint="cs"/>
          <w:rtl/>
        </w:rPr>
        <w:t>304697/11</w:t>
      </w:r>
    </w:p>
    <w:p w14:paraId="6728CBF1" w14:textId="18ABCB2E" w:rsidR="006E7140" w:rsidRPr="003D0A52" w:rsidRDefault="006E7140" w:rsidP="003D0A52">
      <w:pPr>
        <w:pStyle w:val="afff3"/>
        <w:rPr>
          <w:rtl/>
        </w:rPr>
      </w:pPr>
      <w:r w:rsidRPr="003D0A52">
        <w:rPr>
          <w:rFonts w:hint="cs"/>
          <w:rtl/>
        </w:rPr>
        <w:t xml:space="preserve">בבית הדין הרבני </w:t>
      </w:r>
      <w:r w:rsidR="00886B2D">
        <w:rPr>
          <w:rFonts w:hint="cs"/>
          <w:rtl/>
        </w:rPr>
        <w:t xml:space="preserve">האזורי </w:t>
      </w:r>
      <w:r w:rsidR="00C97EDD">
        <w:rPr>
          <w:rFonts w:hint="cs"/>
          <w:rtl/>
        </w:rPr>
        <w:t xml:space="preserve">תל אביב יפו </w:t>
      </w:r>
    </w:p>
    <w:p w14:paraId="2324D184" w14:textId="29539665" w:rsidR="006E7140" w:rsidRDefault="006E7140" w:rsidP="006E7140">
      <w:pPr>
        <w:pStyle w:val="afff4"/>
        <w:rPr>
          <w:rtl/>
        </w:rPr>
      </w:pPr>
      <w:r w:rsidRPr="00D93CE5">
        <w:rPr>
          <w:rFonts w:hint="cs"/>
          <w:rtl/>
        </w:rPr>
        <w:t>לפני כבוד הדיינים:</w:t>
      </w:r>
    </w:p>
    <w:p w14:paraId="2DF5C65F" w14:textId="7084C94A" w:rsidR="00297169" w:rsidRPr="000155CC" w:rsidRDefault="00297169" w:rsidP="00297169">
      <w:pPr>
        <w:pStyle w:val="aff1"/>
        <w:rPr>
          <w:rtl/>
        </w:rPr>
      </w:pPr>
      <w:r w:rsidRPr="00BE2E0A">
        <w:rPr>
          <w:rFonts w:hint="cs"/>
          <w:sz w:val="28"/>
          <w:rtl/>
        </w:rPr>
        <w:t xml:space="preserve">הרב </w:t>
      </w:r>
      <w:r w:rsidR="00C97EDD">
        <w:rPr>
          <w:rFonts w:hint="cs"/>
          <w:sz w:val="28"/>
          <w:rtl/>
        </w:rPr>
        <w:t>אריה אוריאל</w:t>
      </w:r>
      <w:r w:rsidR="00E9089A">
        <w:rPr>
          <w:rFonts w:hint="cs"/>
          <w:sz w:val="28"/>
          <w:rtl/>
        </w:rPr>
        <w:t xml:space="preserve"> </w:t>
      </w:r>
      <w:r w:rsidR="006310E4">
        <w:rPr>
          <w:rFonts w:hint="cs"/>
          <w:sz w:val="28"/>
          <w:rtl/>
        </w:rPr>
        <w:t xml:space="preserve">- </w:t>
      </w:r>
      <w:r w:rsidR="00073690">
        <w:rPr>
          <w:rFonts w:hint="cs"/>
          <w:sz w:val="28"/>
          <w:rtl/>
        </w:rPr>
        <w:t>יו"ר</w:t>
      </w:r>
      <w:r w:rsidR="00C97EDD">
        <w:rPr>
          <w:rFonts w:hint="cs"/>
          <w:sz w:val="28"/>
          <w:rtl/>
        </w:rPr>
        <w:t xml:space="preserve">, הרב נפתלי </w:t>
      </w:r>
      <w:proofErr w:type="spellStart"/>
      <w:r w:rsidR="00C97EDD">
        <w:rPr>
          <w:rFonts w:hint="cs"/>
          <w:sz w:val="28"/>
          <w:rtl/>
        </w:rPr>
        <w:t>הייזלר</w:t>
      </w:r>
      <w:proofErr w:type="spellEnd"/>
      <w:r w:rsidR="00C97EDD">
        <w:rPr>
          <w:rFonts w:hint="cs"/>
          <w:sz w:val="28"/>
          <w:rtl/>
        </w:rPr>
        <w:t>, הרב בן ציון טופי</w:t>
      </w:r>
      <w:r w:rsidRPr="00BE2E0A">
        <w:rPr>
          <w:rFonts w:hint="cs"/>
          <w:sz w:val="28"/>
          <w:rtl/>
        </w:rPr>
        <w:t>ק</w:t>
      </w:r>
    </w:p>
    <w:p w14:paraId="007D51D0" w14:textId="5F4F9DAC" w:rsidR="006E7140" w:rsidRPr="00297169" w:rsidRDefault="00297169" w:rsidP="00297169">
      <w:pPr>
        <w:pStyle w:val="affb"/>
        <w:rPr>
          <w:sz w:val="24"/>
          <w:szCs w:val="24"/>
          <w:rtl/>
        </w:rPr>
      </w:pPr>
      <w:r w:rsidRPr="00E9089A">
        <w:rPr>
          <w:rFonts w:hint="cs"/>
          <w:sz w:val="22"/>
          <w:szCs w:val="28"/>
          <w:rtl/>
        </w:rPr>
        <w:t>המ</w:t>
      </w:r>
      <w:r w:rsidR="00C97EDD" w:rsidRPr="00E9089A">
        <w:rPr>
          <w:rFonts w:hint="cs"/>
          <w:sz w:val="22"/>
          <w:szCs w:val="28"/>
          <w:rtl/>
        </w:rPr>
        <w:t>בקשת</w:t>
      </w:r>
      <w:r w:rsidR="006E7140" w:rsidRPr="00E9089A">
        <w:rPr>
          <w:rFonts w:hint="cs"/>
          <w:sz w:val="22"/>
          <w:szCs w:val="28"/>
          <w:rtl/>
        </w:rPr>
        <w:t>:</w:t>
      </w:r>
      <w:r w:rsidR="002F4215">
        <w:rPr>
          <w:sz w:val="22"/>
          <w:szCs w:val="28"/>
          <w:rtl/>
        </w:rPr>
        <w:tab/>
      </w:r>
      <w:r w:rsidR="006E7140" w:rsidRPr="00E9089A">
        <w:rPr>
          <w:rFonts w:hint="cs"/>
          <w:sz w:val="22"/>
          <w:szCs w:val="28"/>
          <w:rtl/>
        </w:rPr>
        <w:t>פלוני</w:t>
      </w:r>
      <w:r w:rsidR="00886B2D" w:rsidRPr="00E9089A">
        <w:rPr>
          <w:rFonts w:hint="cs"/>
          <w:sz w:val="22"/>
          <w:szCs w:val="28"/>
          <w:rtl/>
        </w:rPr>
        <w:t>ת</w:t>
      </w:r>
      <w:r w:rsidR="00886B2D" w:rsidRPr="00E9089A">
        <w:rPr>
          <w:rFonts w:hint="cs"/>
          <w:sz w:val="20"/>
          <w:szCs w:val="24"/>
          <w:rtl/>
        </w:rPr>
        <w:t xml:space="preserve"> </w:t>
      </w:r>
      <w:r w:rsidR="006E7140" w:rsidRPr="00E9089A">
        <w:rPr>
          <w:rFonts w:hint="cs"/>
          <w:sz w:val="20"/>
          <w:szCs w:val="24"/>
          <w:rtl/>
        </w:rPr>
        <w:t xml:space="preserve"> </w:t>
      </w:r>
      <w:r w:rsidR="00E9089A">
        <w:rPr>
          <w:rFonts w:ascii="Calibri" w:eastAsia="Calibri" w:hAnsi="Calibri" w:cs="Arial"/>
          <w:sz w:val="20"/>
          <w:szCs w:val="20"/>
          <w:rtl/>
          <w:lang w:eastAsia="en-US"/>
        </w:rPr>
        <w:tab/>
      </w:r>
      <w:r w:rsidR="00E9089A">
        <w:rPr>
          <w:rFonts w:ascii="Calibri" w:eastAsia="Calibri" w:hAnsi="Calibri" w:cs="Arial"/>
          <w:sz w:val="20"/>
          <w:szCs w:val="20"/>
          <w:rtl/>
          <w:lang w:eastAsia="en-US"/>
        </w:rPr>
        <w:tab/>
      </w:r>
      <w:r>
        <w:rPr>
          <w:rFonts w:ascii="Calibri" w:eastAsia="Calibri" w:hAnsi="Calibri" w:cs="Arial" w:hint="cs"/>
          <w:sz w:val="20"/>
          <w:szCs w:val="20"/>
          <w:rtl/>
          <w:lang w:eastAsia="en-US"/>
        </w:rPr>
        <w:t>(</w:t>
      </w:r>
      <w:r w:rsidRPr="00297169">
        <w:rPr>
          <w:rFonts w:hint="cs"/>
          <w:sz w:val="24"/>
          <w:szCs w:val="24"/>
          <w:rtl/>
        </w:rPr>
        <w:t xml:space="preserve">ע"י ב"כ עו"ד </w:t>
      </w:r>
      <w:r w:rsidR="00C97EDD">
        <w:rPr>
          <w:rFonts w:hint="cs"/>
          <w:sz w:val="24"/>
          <w:szCs w:val="24"/>
          <w:rtl/>
        </w:rPr>
        <w:t>גבריאל מויאל</w:t>
      </w:r>
      <w:r w:rsidRPr="00297169">
        <w:rPr>
          <w:rFonts w:hint="cs"/>
          <w:sz w:val="24"/>
          <w:szCs w:val="24"/>
          <w:rtl/>
        </w:rPr>
        <w:t>)</w:t>
      </w:r>
    </w:p>
    <w:p w14:paraId="62B854F4" w14:textId="77777777" w:rsidR="006E7140" w:rsidRPr="00E9089A" w:rsidRDefault="006E7140" w:rsidP="003D0A52">
      <w:pPr>
        <w:pStyle w:val="affb"/>
        <w:rPr>
          <w:sz w:val="28"/>
          <w:szCs w:val="28"/>
          <w:rtl/>
        </w:rPr>
      </w:pPr>
      <w:r w:rsidRPr="00E9089A">
        <w:rPr>
          <w:sz w:val="28"/>
          <w:szCs w:val="28"/>
          <w:rtl/>
        </w:rPr>
        <w:t>נגד</w:t>
      </w:r>
    </w:p>
    <w:p w14:paraId="549FFDEA" w14:textId="3C61CF3F" w:rsidR="006E7140" w:rsidRPr="00297169" w:rsidRDefault="006E7140" w:rsidP="00E9089A">
      <w:pPr>
        <w:pStyle w:val="affb"/>
        <w:ind w:left="2919" w:hanging="2919"/>
        <w:rPr>
          <w:sz w:val="24"/>
          <w:szCs w:val="24"/>
          <w:rtl/>
        </w:rPr>
      </w:pPr>
      <w:r w:rsidRPr="00E9089A">
        <w:rPr>
          <w:rFonts w:hint="cs"/>
          <w:sz w:val="28"/>
          <w:szCs w:val="28"/>
          <w:rtl/>
        </w:rPr>
        <w:t>ה</w:t>
      </w:r>
      <w:r w:rsidR="00297169" w:rsidRPr="00E9089A">
        <w:rPr>
          <w:rFonts w:hint="cs"/>
          <w:sz w:val="28"/>
          <w:szCs w:val="28"/>
          <w:rtl/>
        </w:rPr>
        <w:t>משיב</w:t>
      </w:r>
      <w:r w:rsidRPr="00E9089A">
        <w:rPr>
          <w:rFonts w:hint="cs"/>
          <w:sz w:val="28"/>
          <w:szCs w:val="28"/>
          <w:rtl/>
        </w:rPr>
        <w:t>:</w:t>
      </w:r>
      <w:r w:rsidR="00E9089A" w:rsidRPr="00E9089A">
        <w:rPr>
          <w:rFonts w:hint="cs"/>
          <w:sz w:val="28"/>
          <w:szCs w:val="28"/>
          <w:rtl/>
        </w:rPr>
        <w:t xml:space="preserve">          </w:t>
      </w:r>
      <w:r w:rsidR="002F4215">
        <w:rPr>
          <w:rFonts w:hint="cs"/>
          <w:sz w:val="28"/>
          <w:szCs w:val="28"/>
          <w:rtl/>
        </w:rPr>
        <w:t xml:space="preserve">   </w:t>
      </w:r>
      <w:r w:rsidRPr="00E9089A">
        <w:rPr>
          <w:rFonts w:hint="cs"/>
          <w:sz w:val="28"/>
          <w:szCs w:val="28"/>
          <w:rtl/>
        </w:rPr>
        <w:t>פלוני</w:t>
      </w:r>
      <w:r w:rsidR="00E9089A">
        <w:rPr>
          <w:sz w:val="24"/>
          <w:szCs w:val="24"/>
          <w:rtl/>
        </w:rPr>
        <w:tab/>
      </w:r>
      <w:r w:rsidR="00297169" w:rsidRPr="00BA19D6">
        <w:rPr>
          <w:rFonts w:hint="cs"/>
          <w:sz w:val="24"/>
          <w:szCs w:val="24"/>
          <w:rtl/>
        </w:rPr>
        <w:t>(ע"י</w:t>
      </w:r>
      <w:r w:rsidR="00297169" w:rsidRPr="00BA19D6">
        <w:rPr>
          <w:rFonts w:hint="cs"/>
          <w:szCs w:val="24"/>
          <w:rtl/>
        </w:rPr>
        <w:t xml:space="preserve"> </w:t>
      </w:r>
      <w:r w:rsidR="00297169" w:rsidRPr="00BA19D6">
        <w:rPr>
          <w:rFonts w:hint="cs"/>
          <w:sz w:val="24"/>
          <w:szCs w:val="24"/>
          <w:rtl/>
        </w:rPr>
        <w:t xml:space="preserve">ב"כ עו"ד </w:t>
      </w:r>
      <w:r w:rsidR="00C97EDD" w:rsidRPr="00BA19D6">
        <w:rPr>
          <w:rFonts w:hint="cs"/>
          <w:sz w:val="24"/>
          <w:szCs w:val="24"/>
          <w:rtl/>
        </w:rPr>
        <w:t>נעמה כהן-</w:t>
      </w:r>
      <w:proofErr w:type="spellStart"/>
      <w:r w:rsidR="00C97EDD" w:rsidRPr="00BA19D6">
        <w:rPr>
          <w:rFonts w:hint="cs"/>
          <w:sz w:val="24"/>
          <w:szCs w:val="24"/>
          <w:rtl/>
        </w:rPr>
        <w:t>ספראי</w:t>
      </w:r>
      <w:proofErr w:type="spellEnd"/>
      <w:r w:rsidR="00C97EDD" w:rsidRPr="00BA19D6">
        <w:rPr>
          <w:rFonts w:hint="cs"/>
          <w:sz w:val="24"/>
          <w:szCs w:val="24"/>
          <w:rtl/>
        </w:rPr>
        <w:t xml:space="preserve"> ועו"ד גבריאל ישראלי ועו"ד ירדן מצליח הכהן)</w:t>
      </w:r>
      <w:r w:rsidR="00C97EDD">
        <w:rPr>
          <w:rFonts w:hint="cs"/>
          <w:sz w:val="24"/>
          <w:szCs w:val="24"/>
          <w:rtl/>
        </w:rPr>
        <w:t xml:space="preserve"> </w:t>
      </w:r>
    </w:p>
    <w:p w14:paraId="18DCE72E" w14:textId="09333C98" w:rsidR="006E7140" w:rsidRPr="00E9089A" w:rsidRDefault="006E7140" w:rsidP="00D02377">
      <w:pPr>
        <w:pStyle w:val="affd"/>
        <w:rPr>
          <w:rtl/>
        </w:rPr>
      </w:pPr>
      <w:r w:rsidRPr="00E9089A">
        <w:rPr>
          <w:rtl/>
        </w:rPr>
        <w:t>הנדון:</w:t>
      </w:r>
      <w:r w:rsidRPr="00E9089A">
        <w:rPr>
          <w:rFonts w:hint="cs"/>
          <w:rtl/>
        </w:rPr>
        <w:t xml:space="preserve"> </w:t>
      </w:r>
      <w:r w:rsidR="00FD1F88" w:rsidRPr="00E9089A">
        <w:rPr>
          <w:rFonts w:hint="cs"/>
          <w:rtl/>
        </w:rPr>
        <w:t>דחיית בקשה לביטול החלטה בדבר ביטול הסכם גירושין כשהאשה נפטרה קודם אישור ההסכם</w:t>
      </w:r>
    </w:p>
    <w:p w14:paraId="54BF267D" w14:textId="77777777" w:rsidR="00FD1F88" w:rsidRDefault="00FD1F88" w:rsidP="00FD1F88">
      <w:pPr>
        <w:pStyle w:val="afb"/>
        <w:rPr>
          <w:rtl/>
        </w:rPr>
      </w:pPr>
      <w:r>
        <w:rPr>
          <w:rFonts w:hint="cs"/>
          <w:rtl/>
        </w:rPr>
        <w:t>פסק דין</w:t>
      </w:r>
    </w:p>
    <w:p w14:paraId="00577BB2" w14:textId="0F587915" w:rsidR="00C97EDD" w:rsidRPr="00F05566" w:rsidRDefault="00C97EDD" w:rsidP="00E26951">
      <w:pPr>
        <w:pStyle w:val="ae"/>
      </w:pPr>
      <w:r w:rsidRPr="00F05566">
        <w:rPr>
          <w:rtl/>
        </w:rPr>
        <w:t xml:space="preserve">לפנינו בקשת </w:t>
      </w:r>
      <w:proofErr w:type="spellStart"/>
      <w:r w:rsidRPr="00F05566">
        <w:rPr>
          <w:rtl/>
        </w:rPr>
        <w:t>אפוטרופא</w:t>
      </w:r>
      <w:proofErr w:type="spellEnd"/>
      <w:r w:rsidRPr="00F05566">
        <w:rPr>
          <w:rtl/>
        </w:rPr>
        <w:t xml:space="preserve"> לדין לביטול פסק הדין בו קיבל</w:t>
      </w:r>
      <w:r>
        <w:rPr>
          <w:rFonts w:hint="cs"/>
          <w:rtl/>
        </w:rPr>
        <w:t xml:space="preserve"> ביה"ד</w:t>
      </w:r>
      <w:r w:rsidRPr="00F05566">
        <w:rPr>
          <w:rtl/>
        </w:rPr>
        <w:t xml:space="preserve"> את בקשת המשיב לביטול הסכם הגירושין. </w:t>
      </w:r>
    </w:p>
    <w:p w14:paraId="3731124A" w14:textId="69580E7A" w:rsidR="00C97EDD" w:rsidRPr="00E9089A" w:rsidRDefault="00C97EDD" w:rsidP="00E9089A">
      <w:pPr>
        <w:snapToGrid w:val="0"/>
        <w:spacing w:after="120" w:line="276" w:lineRule="auto"/>
        <w:ind w:firstLine="397"/>
        <w:rPr>
          <w:rFonts w:eastAsia="Calibri"/>
          <w:kern w:val="28"/>
          <w:rtl/>
        </w:rPr>
      </w:pPr>
      <w:r w:rsidRPr="00E9089A">
        <w:rPr>
          <w:rFonts w:eastAsia="Calibri"/>
          <w:kern w:val="28"/>
          <w:rtl/>
        </w:rPr>
        <w:t>פסק הדין ניתן בתאריך 12.09.2024. הסכם הגירושין בוטל ולכן חלק הבעל בדירת הצדדים שניתן לאישה בהסכם נותר בבעלות הבעל. דירה זו עברה הליך פינוי בינוי ותמורתה התקבלו שתי דירות</w:t>
      </w:r>
      <w:r w:rsidRPr="00E9089A">
        <w:rPr>
          <w:rFonts w:eastAsia="Calibri" w:hint="cs"/>
          <w:kern w:val="28"/>
          <w:rtl/>
        </w:rPr>
        <w:t>,</w:t>
      </w:r>
      <w:r w:rsidRPr="00E9089A">
        <w:rPr>
          <w:rFonts w:eastAsia="Calibri"/>
          <w:kern w:val="28"/>
          <w:rtl/>
        </w:rPr>
        <w:t xml:space="preserve"> </w:t>
      </w:r>
      <w:r w:rsidRPr="00E9089A">
        <w:rPr>
          <w:rFonts w:eastAsia="Calibri" w:hint="cs"/>
          <w:kern w:val="28"/>
          <w:rtl/>
        </w:rPr>
        <w:t>ה</w:t>
      </w:r>
      <w:r w:rsidRPr="00E9089A">
        <w:rPr>
          <w:rFonts w:eastAsia="Calibri"/>
          <w:kern w:val="28"/>
          <w:rtl/>
        </w:rPr>
        <w:t>אחת גדולה מהשנ</w:t>
      </w:r>
      <w:r w:rsidR="005E10F5">
        <w:rPr>
          <w:rFonts w:eastAsia="Calibri" w:hint="cs"/>
          <w:kern w:val="28"/>
          <w:rtl/>
        </w:rPr>
        <w:t>י</w:t>
      </w:r>
      <w:r w:rsidRPr="00E9089A">
        <w:rPr>
          <w:rFonts w:eastAsia="Calibri"/>
          <w:kern w:val="28"/>
          <w:rtl/>
        </w:rPr>
        <w:t xml:space="preserve">יה. </w:t>
      </w:r>
    </w:p>
    <w:p w14:paraId="70976451" w14:textId="72BDDE09" w:rsidR="00C97EDD" w:rsidRPr="00E9089A" w:rsidRDefault="00C97EDD" w:rsidP="00E9089A">
      <w:pPr>
        <w:snapToGrid w:val="0"/>
        <w:spacing w:after="120" w:line="276" w:lineRule="auto"/>
        <w:ind w:firstLine="397"/>
        <w:rPr>
          <w:rFonts w:eastAsia="Calibri"/>
          <w:kern w:val="28"/>
          <w:rtl/>
        </w:rPr>
      </w:pPr>
      <w:r w:rsidRPr="00E9089A">
        <w:rPr>
          <w:rFonts w:eastAsia="Calibri"/>
          <w:kern w:val="28"/>
          <w:rtl/>
        </w:rPr>
        <w:t xml:space="preserve">בצוואת האישה שאושרה בבית המשפט, ציוותה </w:t>
      </w:r>
      <w:r w:rsidR="00E26951" w:rsidRPr="00E9089A">
        <w:rPr>
          <w:rFonts w:eastAsia="Calibri" w:hint="cs"/>
          <w:kern w:val="28"/>
          <w:rtl/>
        </w:rPr>
        <w:t xml:space="preserve">המנוחה </w:t>
      </w:r>
      <w:r w:rsidRPr="00E9089A">
        <w:rPr>
          <w:rFonts w:eastAsia="Calibri"/>
          <w:kern w:val="28"/>
          <w:rtl/>
        </w:rPr>
        <w:t xml:space="preserve">דירה אחת לבת </w:t>
      </w:r>
      <w:r w:rsidR="00FD1F88" w:rsidRPr="00E9089A">
        <w:rPr>
          <w:rFonts w:eastAsia="Calibri" w:hint="cs"/>
          <w:kern w:val="28"/>
          <w:rtl/>
        </w:rPr>
        <w:t xml:space="preserve">[ר'] </w:t>
      </w:r>
      <w:r w:rsidRPr="00E9089A">
        <w:rPr>
          <w:rFonts w:eastAsia="Calibri"/>
          <w:kern w:val="28"/>
          <w:rtl/>
        </w:rPr>
        <w:t>והשנייה לשני נכדיה.</w:t>
      </w:r>
    </w:p>
    <w:p w14:paraId="7AF071EE" w14:textId="72304BF0" w:rsidR="00C97EDD" w:rsidRPr="00E9089A" w:rsidRDefault="00C97EDD" w:rsidP="00E9089A">
      <w:pPr>
        <w:snapToGrid w:val="0"/>
        <w:spacing w:after="120" w:line="276" w:lineRule="auto"/>
        <w:ind w:firstLine="397"/>
        <w:rPr>
          <w:rFonts w:eastAsia="Calibri"/>
          <w:kern w:val="28"/>
          <w:rtl/>
        </w:rPr>
      </w:pPr>
      <w:r w:rsidRPr="00E9089A">
        <w:rPr>
          <w:rFonts w:eastAsia="Calibri"/>
          <w:kern w:val="28"/>
          <w:rtl/>
        </w:rPr>
        <w:t>התקיים דיון במעמד הצדדים</w:t>
      </w:r>
      <w:r w:rsidR="00E26951" w:rsidRPr="00E9089A">
        <w:rPr>
          <w:rFonts w:eastAsia="Calibri" w:hint="cs"/>
          <w:kern w:val="28"/>
          <w:rtl/>
        </w:rPr>
        <w:t xml:space="preserve">: </w:t>
      </w:r>
      <w:r w:rsidRPr="00E9089A">
        <w:rPr>
          <w:rFonts w:eastAsia="Calibri"/>
          <w:kern w:val="28"/>
          <w:rtl/>
        </w:rPr>
        <w:t xml:space="preserve">הבת </w:t>
      </w:r>
      <w:r w:rsidR="00FD1F88" w:rsidRPr="00E9089A">
        <w:rPr>
          <w:rFonts w:eastAsia="Calibri" w:hint="cs"/>
          <w:kern w:val="28"/>
          <w:rtl/>
        </w:rPr>
        <w:t>[ר']</w:t>
      </w:r>
      <w:r w:rsidR="005E10F5">
        <w:rPr>
          <w:rFonts w:eastAsia="Calibri" w:hint="cs"/>
          <w:kern w:val="28"/>
          <w:rtl/>
        </w:rPr>
        <w:t xml:space="preserve"> </w:t>
      </w:r>
      <w:r w:rsidRPr="00E9089A">
        <w:rPr>
          <w:rFonts w:eastAsia="Calibri"/>
          <w:kern w:val="28"/>
          <w:rtl/>
        </w:rPr>
        <w:t>המוטבת בצוואה, האב</w:t>
      </w:r>
      <w:r w:rsidR="00E9089A">
        <w:rPr>
          <w:rFonts w:eastAsia="Calibri" w:hint="cs"/>
          <w:kern w:val="28"/>
          <w:rtl/>
        </w:rPr>
        <w:t xml:space="preserve"> </w:t>
      </w:r>
      <w:r w:rsidR="00FD1F88" w:rsidRPr="00E9089A">
        <w:rPr>
          <w:rFonts w:eastAsia="Calibri" w:hint="cs"/>
          <w:kern w:val="28"/>
          <w:rtl/>
        </w:rPr>
        <w:t>[ע']</w:t>
      </w:r>
      <w:r w:rsidRPr="00E9089A">
        <w:rPr>
          <w:rFonts w:eastAsia="Calibri"/>
          <w:kern w:val="28"/>
          <w:rtl/>
        </w:rPr>
        <w:t xml:space="preserve">, </w:t>
      </w:r>
      <w:proofErr w:type="spellStart"/>
      <w:r w:rsidRPr="00E9089A">
        <w:rPr>
          <w:rFonts w:eastAsia="Calibri"/>
          <w:kern w:val="28"/>
          <w:rtl/>
        </w:rPr>
        <w:t>והאפוטרופא</w:t>
      </w:r>
      <w:proofErr w:type="spellEnd"/>
      <w:r w:rsidRPr="00E9089A">
        <w:rPr>
          <w:rFonts w:eastAsia="Calibri"/>
          <w:kern w:val="28"/>
          <w:rtl/>
        </w:rPr>
        <w:t xml:space="preserve"> לדין. </w:t>
      </w:r>
    </w:p>
    <w:p w14:paraId="3E0E2B16" w14:textId="78FBFA13" w:rsidR="00E26951" w:rsidRDefault="00E26951" w:rsidP="00E26951">
      <w:pPr>
        <w:pStyle w:val="-0"/>
        <w:rPr>
          <w:rtl/>
        </w:rPr>
      </w:pPr>
      <w:r>
        <w:rPr>
          <w:rFonts w:hint="cs"/>
          <w:rtl/>
        </w:rPr>
        <w:t xml:space="preserve">טענות </w:t>
      </w:r>
      <w:proofErr w:type="spellStart"/>
      <w:r>
        <w:rPr>
          <w:rFonts w:hint="cs"/>
          <w:rtl/>
        </w:rPr>
        <w:t>האפוטרופא</w:t>
      </w:r>
      <w:proofErr w:type="spellEnd"/>
      <w:r>
        <w:rPr>
          <w:rFonts w:hint="cs"/>
          <w:rtl/>
        </w:rPr>
        <w:t xml:space="preserve"> לדין</w:t>
      </w:r>
    </w:p>
    <w:p w14:paraId="4C9CFFBD" w14:textId="77777777" w:rsidR="00E9089A" w:rsidRDefault="00FD1F88" w:rsidP="00E9089A">
      <w:pPr>
        <w:pStyle w:val="ae"/>
        <w:numPr>
          <w:ilvl w:val="0"/>
          <w:numId w:val="31"/>
        </w:numPr>
      </w:pPr>
      <w:r w:rsidRPr="00E9089A">
        <w:rPr>
          <w:rtl/>
        </w:rPr>
        <w:t xml:space="preserve">[ל']: </w:t>
      </w:r>
      <w:r w:rsidR="00C97EDD" w:rsidRPr="00E9089A">
        <w:rPr>
          <w:rtl/>
        </w:rPr>
        <w:t>נער</w:t>
      </w:r>
      <w:r w:rsidRPr="00E9089A">
        <w:rPr>
          <w:rtl/>
        </w:rPr>
        <w:t xml:space="preserve"> בן 17</w:t>
      </w:r>
      <w:r w:rsidR="00C97EDD" w:rsidRPr="00E9089A">
        <w:rPr>
          <w:rtl/>
        </w:rPr>
        <w:t xml:space="preserve"> עם לקויות למידה שהיה קרוב מאוד לסבת</w:t>
      </w:r>
      <w:r w:rsidR="00E9089A" w:rsidRPr="00E9089A">
        <w:rPr>
          <w:rFonts w:hint="cs"/>
          <w:rtl/>
        </w:rPr>
        <w:t>ו.</w:t>
      </w:r>
      <w:r w:rsidR="00C97EDD" w:rsidRPr="00E9089A">
        <w:t xml:space="preserve"> </w:t>
      </w:r>
      <w:r w:rsidR="00C97EDD" w:rsidRPr="00E9089A">
        <w:rPr>
          <w:rtl/>
        </w:rPr>
        <w:t>היא הבטיחה לסייע לו כלכלית כדי להבטיח את עתידו</w:t>
      </w:r>
      <w:r w:rsidR="00E9089A" w:rsidRPr="00E9089A">
        <w:rPr>
          <w:rFonts w:hint="cs"/>
          <w:rtl/>
        </w:rPr>
        <w:t>.</w:t>
      </w:r>
    </w:p>
    <w:p w14:paraId="0164B587" w14:textId="77777777" w:rsidR="00E9089A" w:rsidRDefault="00FD1F88" w:rsidP="00E9089A">
      <w:pPr>
        <w:pStyle w:val="ae"/>
        <w:ind w:left="720"/>
        <w:rPr>
          <w:rtl/>
        </w:rPr>
      </w:pPr>
      <w:r w:rsidRPr="00E9089A">
        <w:rPr>
          <w:rtl/>
        </w:rPr>
        <w:lastRenderedPageBreak/>
        <w:t>[ט'</w:t>
      </w:r>
      <w:r w:rsidR="00E9089A">
        <w:rPr>
          <w:rFonts w:hint="cs"/>
          <w:rtl/>
        </w:rPr>
        <w:t>]:</w:t>
      </w:r>
      <w:r w:rsidRPr="00E9089A">
        <w:rPr>
          <w:rtl/>
        </w:rPr>
        <w:t xml:space="preserve"> נער בן 15 </w:t>
      </w:r>
      <w:r w:rsidR="00C97EDD" w:rsidRPr="00E9089A">
        <w:rPr>
          <w:rtl/>
        </w:rPr>
        <w:t>גדל בבית המנוחה וראה בה דמות אם</w:t>
      </w:r>
      <w:r w:rsidR="00E26951" w:rsidRPr="00E9089A">
        <w:t xml:space="preserve"> .</w:t>
      </w:r>
      <w:r w:rsidR="00C97EDD" w:rsidRPr="00E9089A">
        <w:rPr>
          <w:rtl/>
        </w:rPr>
        <w:t>המנוחה הבטיחה לממן את לימודי הרפואה שלו ולדאוג לו למגורים</w:t>
      </w:r>
      <w:r w:rsidR="00E9089A" w:rsidRPr="00E9089A">
        <w:rPr>
          <w:rFonts w:hint="cs"/>
          <w:rtl/>
        </w:rPr>
        <w:t>.</w:t>
      </w:r>
    </w:p>
    <w:p w14:paraId="66B4BC6E" w14:textId="41DE2C6D" w:rsidR="00E9089A" w:rsidRDefault="00E26951" w:rsidP="00E9089A">
      <w:pPr>
        <w:pStyle w:val="ae"/>
        <w:ind w:left="720"/>
      </w:pPr>
      <w:r w:rsidRPr="00E9089A">
        <w:rPr>
          <w:rtl/>
        </w:rPr>
        <w:t>ביטול ההסכם פוגע ישירות בקטינים, שכן הדירה שיועדה להם בצוואה תיגרע מהעיזבון ותעבור למבקש, שהצהיר כי נכדיו "מעניינים אותו כקליפת השום".</w:t>
      </w:r>
      <w:r w:rsidR="00C97EDD" w:rsidRPr="00E9089A">
        <w:t xml:space="preserve"> </w:t>
      </w:r>
      <w:r w:rsidR="00C97EDD" w:rsidRPr="00E9089A">
        <w:rPr>
          <w:rtl/>
        </w:rPr>
        <w:t>הקטינים והוריהם העידו כי המבקש לא היה נוכח בחייהם, לא תמך בהם כלכלית, וחלקם אף לא פגשו אותו מעולם</w:t>
      </w:r>
      <w:r w:rsidR="00C97EDD" w:rsidRPr="00E9089A">
        <w:t>.</w:t>
      </w:r>
    </w:p>
    <w:p w14:paraId="41912CCA" w14:textId="77777777" w:rsidR="00E9089A" w:rsidRPr="00E9089A" w:rsidRDefault="00C97EDD" w:rsidP="00E9089A">
      <w:pPr>
        <w:pStyle w:val="ae"/>
        <w:numPr>
          <w:ilvl w:val="0"/>
          <w:numId w:val="31"/>
        </w:numPr>
      </w:pPr>
      <w:r w:rsidRPr="00E9089A">
        <w:rPr>
          <w:rFonts w:ascii="FrankRuehl" w:hAnsi="FrankRuehl"/>
          <w:kern w:val="28"/>
          <w:rtl/>
        </w:rPr>
        <w:t>חזרה מהסכם גירושין אפשרית רק אם אחד הצדדים מבקש "שלום ב</w:t>
      </w:r>
      <w:r w:rsidR="00E26951" w:rsidRPr="00E9089A">
        <w:rPr>
          <w:rFonts w:ascii="FrankRuehl" w:hAnsi="FrankRuehl"/>
          <w:kern w:val="28"/>
          <w:rtl/>
        </w:rPr>
        <w:t>ית".</w:t>
      </w:r>
      <w:r w:rsidRPr="00E9089A">
        <w:rPr>
          <w:rFonts w:ascii="FrankRuehl" w:hAnsi="FrankRuehl"/>
          <w:kern w:val="28"/>
        </w:rPr>
        <w:t xml:space="preserve"> </w:t>
      </w:r>
      <w:r w:rsidRPr="00E9089A">
        <w:rPr>
          <w:rFonts w:ascii="FrankRuehl" w:hAnsi="FrankRuehl"/>
          <w:kern w:val="28"/>
          <w:rtl/>
        </w:rPr>
        <w:t xml:space="preserve">במקרה זה, המבקש הצהיר כי הוא עדיין מעוניין בגירושין ורק רצה לשפר את תנאיו הממוניים, ולכן ההסכם </w:t>
      </w:r>
      <w:r w:rsidR="00E26951" w:rsidRPr="00E9089A">
        <w:rPr>
          <w:rFonts w:ascii="FrankRuehl" w:hAnsi="FrankRuehl"/>
          <w:kern w:val="28"/>
          <w:rtl/>
        </w:rPr>
        <w:t>עומד בתוקפו.</w:t>
      </w:r>
    </w:p>
    <w:p w14:paraId="4C997068" w14:textId="77777777" w:rsidR="00E9089A" w:rsidRPr="00E9089A" w:rsidRDefault="00C97EDD" w:rsidP="00E9089A">
      <w:pPr>
        <w:pStyle w:val="ae"/>
        <w:numPr>
          <w:ilvl w:val="0"/>
          <w:numId w:val="31"/>
        </w:numPr>
      </w:pPr>
      <w:r w:rsidRPr="00E9089A">
        <w:rPr>
          <w:rFonts w:ascii="FrankRuehl" w:hAnsi="FrankRuehl"/>
          <w:kern w:val="28"/>
          <w:rtl/>
        </w:rPr>
        <w:t xml:space="preserve">המבקש </w:t>
      </w:r>
      <w:r w:rsidR="00E26951" w:rsidRPr="00E9089A">
        <w:rPr>
          <w:rFonts w:ascii="FrankRuehl" w:hAnsi="FrankRuehl"/>
          <w:kern w:val="28"/>
          <w:rtl/>
        </w:rPr>
        <w:t>הת</w:t>
      </w:r>
      <w:r w:rsidRPr="00E9089A">
        <w:rPr>
          <w:rFonts w:ascii="FrankRuehl" w:hAnsi="FrankRuehl"/>
          <w:kern w:val="28"/>
          <w:rtl/>
        </w:rPr>
        <w:t>נהג כרווק במשך 20 שנה, מכר נכס אחר ושמר את התמורה לעצמו, ואין זה צודק שיחזור בו מהתחייבותו כעת</w:t>
      </w:r>
      <w:r w:rsidR="00E9089A" w:rsidRPr="00E9089A">
        <w:rPr>
          <w:rFonts w:ascii="FrankRuehl" w:hAnsi="FrankRuehl" w:hint="cs"/>
          <w:kern w:val="28"/>
          <w:rtl/>
        </w:rPr>
        <w:t>.</w:t>
      </w:r>
    </w:p>
    <w:p w14:paraId="0D74219B" w14:textId="14F315D6" w:rsidR="00C97EDD" w:rsidRPr="00E9089A" w:rsidRDefault="00E26951" w:rsidP="00E9089A">
      <w:pPr>
        <w:pStyle w:val="ae"/>
        <w:numPr>
          <w:ilvl w:val="0"/>
          <w:numId w:val="31"/>
        </w:numPr>
      </w:pPr>
      <w:r w:rsidRPr="00E9089A">
        <w:rPr>
          <w:rFonts w:ascii="FrankRuehl" w:hAnsi="FrankRuehl"/>
          <w:kern w:val="28"/>
          <w:rtl/>
        </w:rPr>
        <w:t xml:space="preserve">"מצווה לקיים דברי המת", </w:t>
      </w:r>
      <w:r w:rsidR="00C97EDD" w:rsidRPr="00E9089A">
        <w:rPr>
          <w:rFonts w:ascii="FrankRuehl" w:hAnsi="FrankRuehl"/>
          <w:kern w:val="28"/>
          <w:rtl/>
        </w:rPr>
        <w:t>ולכבד את רצונה המפורש של המנוחה לדאוג לעתיד נכדיה</w:t>
      </w:r>
      <w:r w:rsidR="00C97EDD" w:rsidRPr="00E9089A">
        <w:rPr>
          <w:rFonts w:ascii="FrankRuehl" w:hAnsi="FrankRuehl"/>
          <w:kern w:val="28"/>
        </w:rPr>
        <w:t>.</w:t>
      </w:r>
    </w:p>
    <w:p w14:paraId="3B39E7CA" w14:textId="387C9772" w:rsidR="00C97EDD" w:rsidRPr="00E9089A" w:rsidRDefault="00C97EDD" w:rsidP="00E9089A">
      <w:pPr>
        <w:snapToGrid w:val="0"/>
        <w:spacing w:after="120" w:line="276" w:lineRule="auto"/>
        <w:ind w:firstLine="397"/>
        <w:rPr>
          <w:rFonts w:ascii="FrankRuehl" w:hAnsi="FrankRuehl"/>
          <w:kern w:val="28"/>
          <w:sz w:val="28"/>
          <w:rtl/>
        </w:rPr>
      </w:pPr>
      <w:r w:rsidRPr="00E9089A">
        <w:rPr>
          <w:rFonts w:ascii="FrankRuehl" w:hAnsi="FrankRuehl"/>
          <w:kern w:val="28"/>
          <w:sz w:val="28"/>
          <w:rtl/>
        </w:rPr>
        <w:t xml:space="preserve">לבקשתה, </w:t>
      </w:r>
      <w:r w:rsidRPr="00E9089A">
        <w:rPr>
          <w:rFonts w:eastAsia="Calibri"/>
          <w:kern w:val="28"/>
          <w:rtl/>
        </w:rPr>
        <w:t>צירפה</w:t>
      </w:r>
      <w:r w:rsidRPr="00E9089A">
        <w:rPr>
          <w:rFonts w:ascii="FrankRuehl" w:hAnsi="FrankRuehl"/>
          <w:kern w:val="28"/>
          <w:sz w:val="28"/>
          <w:rtl/>
        </w:rPr>
        <w:t xml:space="preserve"> </w:t>
      </w:r>
      <w:proofErr w:type="spellStart"/>
      <w:r w:rsidRPr="00E9089A">
        <w:rPr>
          <w:rFonts w:ascii="FrankRuehl" w:hAnsi="FrankRuehl"/>
          <w:kern w:val="28"/>
          <w:sz w:val="28"/>
          <w:rtl/>
        </w:rPr>
        <w:t>האפ</w:t>
      </w:r>
      <w:r w:rsidR="00FD1F88" w:rsidRPr="00E9089A">
        <w:rPr>
          <w:rFonts w:ascii="FrankRuehl" w:hAnsi="FrankRuehl"/>
          <w:kern w:val="28"/>
          <w:sz w:val="28"/>
          <w:rtl/>
        </w:rPr>
        <w:t>ו</w:t>
      </w:r>
      <w:r w:rsidRPr="00E9089A">
        <w:rPr>
          <w:rFonts w:ascii="FrankRuehl" w:hAnsi="FrankRuehl"/>
          <w:kern w:val="28"/>
          <w:sz w:val="28"/>
          <w:rtl/>
        </w:rPr>
        <w:t>טרופא</w:t>
      </w:r>
      <w:proofErr w:type="spellEnd"/>
      <w:r w:rsidRPr="00E9089A">
        <w:rPr>
          <w:rFonts w:ascii="FrankRuehl" w:hAnsi="FrankRuehl"/>
          <w:kern w:val="28"/>
          <w:sz w:val="28"/>
          <w:rtl/>
        </w:rPr>
        <w:t xml:space="preserve"> פסקי דין התומכים לשיטתה בבקשת ביטול ההחלטה. </w:t>
      </w:r>
    </w:p>
    <w:p w14:paraId="377DF7DE" w14:textId="0D54C2F7" w:rsidR="00C97EDD" w:rsidRPr="00F05566" w:rsidRDefault="00E26951" w:rsidP="00E26951">
      <w:pPr>
        <w:pStyle w:val="-0"/>
        <w:rPr>
          <w:kern w:val="28"/>
          <w:rtl/>
        </w:rPr>
      </w:pPr>
      <w:r>
        <w:rPr>
          <w:rFonts w:hint="cs"/>
          <w:rtl/>
        </w:rPr>
        <w:t>דיון</w:t>
      </w:r>
    </w:p>
    <w:p w14:paraId="11E61413" w14:textId="5029E242" w:rsidR="00E9089A" w:rsidRPr="00E9089A" w:rsidRDefault="00E9089A" w:rsidP="00E9089A">
      <w:pPr>
        <w:snapToGrid w:val="0"/>
        <w:spacing w:after="120" w:line="276" w:lineRule="auto"/>
        <w:ind w:firstLine="397"/>
        <w:rPr>
          <w:rFonts w:eastAsia="Calibri"/>
          <w:kern w:val="28"/>
          <w:rtl/>
        </w:rPr>
      </w:pPr>
      <w:r>
        <w:rPr>
          <w:rFonts w:eastAsia="Calibri" w:hint="cs"/>
          <w:kern w:val="28"/>
          <w:rtl/>
        </w:rPr>
        <w:t>א. ב</w:t>
      </w:r>
      <w:r w:rsidR="00C97EDD" w:rsidRPr="00E9089A">
        <w:rPr>
          <w:rFonts w:eastAsia="Calibri"/>
          <w:kern w:val="28"/>
          <w:rtl/>
        </w:rPr>
        <w:t>פסק הדין הוכחנו כי כל כוונת הנותן בהסכם הגירושין הייתה לפצות את האישה ממנה עמד להתגרש על חייה עמו. הוכחנו כי מציאות זו עולה מלשון ההסכם עצמו. משנפטרה האישה, אין ל</w:t>
      </w:r>
      <w:r w:rsidR="00E26951" w:rsidRPr="00E9089A">
        <w:rPr>
          <w:rFonts w:eastAsia="Calibri" w:hint="cs"/>
          <w:kern w:val="28"/>
          <w:rtl/>
        </w:rPr>
        <w:t>איש</w:t>
      </w:r>
      <w:r w:rsidR="00C97EDD" w:rsidRPr="00E9089A">
        <w:rPr>
          <w:rFonts w:eastAsia="Calibri"/>
          <w:kern w:val="28"/>
          <w:rtl/>
        </w:rPr>
        <w:t xml:space="preserve"> דבר עם נכדיו. </w:t>
      </w:r>
    </w:p>
    <w:p w14:paraId="182DC861" w14:textId="77777777" w:rsidR="00E9089A" w:rsidRDefault="00E9089A" w:rsidP="00E9089A">
      <w:pPr>
        <w:snapToGrid w:val="0"/>
        <w:spacing w:after="120" w:line="276" w:lineRule="auto"/>
        <w:ind w:firstLine="397"/>
        <w:rPr>
          <w:rFonts w:eastAsia="Calibri"/>
          <w:kern w:val="28"/>
          <w:rtl/>
        </w:rPr>
      </w:pPr>
      <w:r>
        <w:rPr>
          <w:rFonts w:eastAsia="Calibri" w:hint="cs"/>
          <w:kern w:val="28"/>
          <w:rtl/>
        </w:rPr>
        <w:t>ב. ה</w:t>
      </w:r>
      <w:r w:rsidR="00C97EDD" w:rsidRPr="00E9089A">
        <w:rPr>
          <w:rFonts w:eastAsia="Calibri"/>
          <w:kern w:val="28"/>
          <w:rtl/>
        </w:rPr>
        <w:t xml:space="preserve">טענה כי ההחלטה הנ"ל פוגעת בשני הקטינים וסותרת את עקרון טובת הילד, דינה להידחות. </w:t>
      </w:r>
    </w:p>
    <w:p w14:paraId="49511114" w14:textId="5615AA29" w:rsidR="00E26951" w:rsidRPr="00E9089A" w:rsidRDefault="00C97EDD" w:rsidP="00E9089A">
      <w:pPr>
        <w:snapToGrid w:val="0"/>
        <w:spacing w:after="120" w:line="276" w:lineRule="auto"/>
        <w:ind w:firstLine="397"/>
        <w:rPr>
          <w:rFonts w:eastAsia="Calibri"/>
          <w:kern w:val="28"/>
          <w:rtl/>
        </w:rPr>
      </w:pPr>
      <w:r w:rsidRPr="00E9089A">
        <w:rPr>
          <w:rFonts w:eastAsia="Calibri"/>
          <w:kern w:val="28"/>
          <w:rtl/>
        </w:rPr>
        <w:t xml:space="preserve">ראשית, המשיב עצמו טוען כי דירתו תישאר לאחר מותו לנכדיו הנוספים. </w:t>
      </w:r>
      <w:r w:rsidR="00E26951" w:rsidRPr="00E9089A">
        <w:rPr>
          <w:rFonts w:eastAsia="Calibri" w:hint="cs"/>
          <w:kern w:val="28"/>
          <w:rtl/>
        </w:rPr>
        <w:t xml:space="preserve">מדוע </w:t>
      </w:r>
      <w:r w:rsidRPr="00E9089A">
        <w:rPr>
          <w:rFonts w:eastAsia="Calibri"/>
          <w:kern w:val="28"/>
          <w:rtl/>
        </w:rPr>
        <w:t xml:space="preserve">להעדיף שני קטינים על הקטינים האחרים. </w:t>
      </w:r>
    </w:p>
    <w:p w14:paraId="015DDD56" w14:textId="77777777" w:rsidR="00E9089A" w:rsidRDefault="00C97EDD" w:rsidP="00E9089A">
      <w:pPr>
        <w:snapToGrid w:val="0"/>
        <w:spacing w:after="120" w:line="276" w:lineRule="auto"/>
        <w:ind w:firstLine="397"/>
        <w:rPr>
          <w:rFonts w:ascii="FrankRuehl" w:eastAsia="Calibri" w:hAnsi="FrankRuehl"/>
          <w:kern w:val="28"/>
          <w:sz w:val="28"/>
          <w:rtl/>
        </w:rPr>
      </w:pPr>
      <w:r w:rsidRPr="00E9089A">
        <w:rPr>
          <w:rFonts w:ascii="FrankRuehl" w:eastAsia="Calibri" w:hAnsi="FrankRuehl"/>
          <w:kern w:val="28"/>
          <w:sz w:val="28"/>
          <w:rtl/>
        </w:rPr>
        <w:t xml:space="preserve">שנית, המושג </w:t>
      </w:r>
      <w:r w:rsidR="00E26951" w:rsidRPr="00E9089A">
        <w:rPr>
          <w:rFonts w:ascii="FrankRuehl" w:eastAsia="Calibri" w:hAnsi="FrankRuehl"/>
          <w:kern w:val="28"/>
          <w:sz w:val="28"/>
          <w:rtl/>
        </w:rPr>
        <w:t>'</w:t>
      </w:r>
      <w:r w:rsidRPr="00E9089A">
        <w:rPr>
          <w:rFonts w:ascii="FrankRuehl" w:eastAsia="Calibri" w:hAnsi="FrankRuehl"/>
          <w:kern w:val="28"/>
          <w:sz w:val="28"/>
          <w:rtl/>
        </w:rPr>
        <w:t>טובת הילד</w:t>
      </w:r>
      <w:r w:rsidR="00E26951" w:rsidRPr="00E9089A">
        <w:rPr>
          <w:rFonts w:ascii="FrankRuehl" w:eastAsia="Calibri" w:hAnsi="FrankRuehl"/>
          <w:kern w:val="28"/>
          <w:sz w:val="28"/>
          <w:rtl/>
        </w:rPr>
        <w:t>'</w:t>
      </w:r>
      <w:r w:rsidRPr="00E9089A">
        <w:rPr>
          <w:rFonts w:ascii="FrankRuehl" w:eastAsia="Calibri" w:hAnsi="FrankRuehl"/>
          <w:kern w:val="28"/>
          <w:sz w:val="28"/>
          <w:rtl/>
        </w:rPr>
        <w:t xml:space="preserve"> לקוח מעולם המשמורת והסדרי השהות, ואין מקומו לכאן. </w:t>
      </w:r>
    </w:p>
    <w:p w14:paraId="50D85DE1" w14:textId="2F6CF0C7" w:rsidR="00C97EDD" w:rsidRPr="00E9089A" w:rsidRDefault="00C97EDD" w:rsidP="00E9089A">
      <w:pPr>
        <w:snapToGrid w:val="0"/>
        <w:spacing w:after="120" w:line="276" w:lineRule="auto"/>
        <w:ind w:firstLine="397"/>
        <w:rPr>
          <w:rFonts w:ascii="FrankRuehl" w:eastAsia="Calibri" w:hAnsi="FrankRuehl"/>
          <w:kern w:val="28"/>
          <w:sz w:val="28"/>
          <w:rtl/>
        </w:rPr>
      </w:pPr>
      <w:r w:rsidRPr="00E9089A">
        <w:rPr>
          <w:rFonts w:ascii="FrankRuehl" w:eastAsia="Calibri" w:hAnsi="FrankRuehl"/>
          <w:kern w:val="28"/>
          <w:sz w:val="28"/>
          <w:rtl/>
        </w:rPr>
        <w:t>נרחיב קמעא בעניין זה.</w:t>
      </w:r>
    </w:p>
    <w:p w14:paraId="0756E5CE" w14:textId="77777777" w:rsidR="005E10F5" w:rsidRDefault="00C97EDD" w:rsidP="005E10F5">
      <w:pPr>
        <w:snapToGrid w:val="0"/>
        <w:spacing w:after="120" w:line="276" w:lineRule="auto"/>
        <w:ind w:firstLine="397"/>
        <w:rPr>
          <w:rFonts w:ascii="FrankRuehl" w:eastAsia="Calibri" w:hAnsi="FrankRuehl"/>
          <w:kern w:val="28"/>
          <w:sz w:val="28"/>
          <w:rtl/>
        </w:rPr>
      </w:pPr>
      <w:r w:rsidRPr="00E9089A">
        <w:rPr>
          <w:rFonts w:ascii="FrankRuehl" w:eastAsia="Calibri" w:hAnsi="FrankRuehl"/>
          <w:kern w:val="28"/>
          <w:sz w:val="28"/>
          <w:rtl/>
        </w:rPr>
        <w:t xml:space="preserve">עיקרון </w:t>
      </w:r>
      <w:r w:rsidR="00E26951" w:rsidRPr="00E9089A">
        <w:rPr>
          <w:rFonts w:ascii="FrankRuehl" w:eastAsia="Calibri" w:hAnsi="FrankRuehl"/>
          <w:kern w:val="28"/>
          <w:sz w:val="28"/>
          <w:rtl/>
        </w:rPr>
        <w:t>'</w:t>
      </w:r>
      <w:r w:rsidRPr="00E9089A">
        <w:rPr>
          <w:rFonts w:ascii="FrankRuehl" w:eastAsia="Calibri" w:hAnsi="FrankRuehl"/>
          <w:kern w:val="28"/>
          <w:sz w:val="28"/>
          <w:rtl/>
        </w:rPr>
        <w:t>טובת הילד</w:t>
      </w:r>
      <w:r w:rsidR="00E26951" w:rsidRPr="00E9089A">
        <w:rPr>
          <w:rFonts w:ascii="FrankRuehl" w:eastAsia="Calibri" w:hAnsi="FrankRuehl"/>
          <w:kern w:val="28"/>
          <w:sz w:val="28"/>
          <w:rtl/>
        </w:rPr>
        <w:t>'</w:t>
      </w:r>
      <w:r w:rsidRPr="00E9089A">
        <w:rPr>
          <w:rFonts w:ascii="FrankRuehl" w:eastAsia="Calibri" w:hAnsi="FrankRuehl"/>
          <w:kern w:val="28"/>
          <w:sz w:val="28"/>
          <w:rtl/>
        </w:rPr>
        <w:t xml:space="preserve"> הוא עיקרון מרכזי ב</w:t>
      </w:r>
      <w:hyperlink r:id="rId8" w:tooltip="משפט בין-לאומי פומבי" w:history="1">
        <w:r w:rsidRPr="00E9089A">
          <w:rPr>
            <w:rFonts w:ascii="FrankRuehl" w:eastAsia="Calibri" w:hAnsi="FrankRuehl"/>
            <w:kern w:val="28"/>
            <w:sz w:val="28"/>
            <w:rtl/>
          </w:rPr>
          <w:t>משפט הבין-לאומי</w:t>
        </w:r>
      </w:hyperlink>
      <w:r w:rsidR="00E26951" w:rsidRPr="00E9089A">
        <w:rPr>
          <w:rFonts w:ascii="FrankRuehl" w:eastAsia="Calibri" w:hAnsi="FrankRuehl"/>
          <w:kern w:val="28"/>
          <w:sz w:val="28"/>
          <w:rtl/>
        </w:rPr>
        <w:t xml:space="preserve">, </w:t>
      </w:r>
      <w:r w:rsidRPr="00E9089A">
        <w:rPr>
          <w:rFonts w:ascii="FrankRuehl" w:eastAsia="Calibri" w:hAnsi="FrankRuehl"/>
          <w:kern w:val="28"/>
          <w:sz w:val="28"/>
          <w:rtl/>
        </w:rPr>
        <w:t>אשר התפתח במהלך המאה ה־20 על רקע שינוי בתפיסת מעמדם של ילדים בחברה ובמשפט. בעבר נתפסו ילדים בעיקר כמושא לאחריות ולסמכות הורית, מתוך הנחה כי טובתם מובטחת באמצעות החלטותיהם של המבוגרים הסובבים אותם</w:t>
      </w:r>
      <w:r w:rsidR="00E26951" w:rsidRPr="00E9089A">
        <w:rPr>
          <w:rFonts w:ascii="FrankRuehl" w:eastAsia="Calibri" w:hAnsi="FrankRuehl"/>
          <w:kern w:val="28"/>
          <w:sz w:val="28"/>
          <w:rtl/>
        </w:rPr>
        <w:t>.</w:t>
      </w:r>
      <w:r w:rsidRPr="00E9089A">
        <w:rPr>
          <w:rFonts w:ascii="FrankRuehl" w:eastAsia="Calibri" w:hAnsi="FrankRuehl"/>
          <w:kern w:val="28"/>
          <w:sz w:val="28"/>
          <w:rtl/>
        </w:rPr>
        <w:t xml:space="preserve"> תפיסה זו החלה להתערער עם חשיפת פגיעות בילדים גם במסגרת ה</w:t>
      </w:r>
      <w:hyperlink r:id="rId9" w:tooltip="משפחה" w:history="1">
        <w:r w:rsidRPr="00E9089A">
          <w:rPr>
            <w:rFonts w:ascii="FrankRuehl" w:eastAsia="Calibri" w:hAnsi="FrankRuehl"/>
            <w:kern w:val="28"/>
            <w:sz w:val="28"/>
            <w:rtl/>
          </w:rPr>
          <w:t>משפחה</w:t>
        </w:r>
      </w:hyperlink>
      <w:r w:rsidRPr="00E9089A">
        <w:rPr>
          <w:rFonts w:ascii="FrankRuehl" w:eastAsia="Calibri" w:hAnsi="FrankRuehl"/>
          <w:kern w:val="28"/>
          <w:sz w:val="28"/>
        </w:rPr>
        <w:t> </w:t>
      </w:r>
      <w:r w:rsidRPr="00E9089A">
        <w:rPr>
          <w:rFonts w:ascii="FrankRuehl" w:eastAsia="Calibri" w:hAnsi="FrankRuehl"/>
          <w:kern w:val="28"/>
          <w:sz w:val="28"/>
          <w:rtl/>
        </w:rPr>
        <w:t>ובמוסדות ציבוריים, ועם ההכרה בכך שאינטרסים של מבוגרים אינם תמיד חופפים לאינטרסים של ילדים</w:t>
      </w:r>
      <w:r w:rsidRPr="00E9089A">
        <w:rPr>
          <w:rFonts w:ascii="FrankRuehl" w:eastAsia="Calibri" w:hAnsi="FrankRuehl"/>
          <w:kern w:val="28"/>
          <w:sz w:val="28"/>
        </w:rPr>
        <w:t>.</w:t>
      </w:r>
    </w:p>
    <w:p w14:paraId="7E03D299" w14:textId="3687A9E0" w:rsidR="00C97EDD" w:rsidRPr="005E10F5" w:rsidRDefault="00C97EDD" w:rsidP="005E10F5">
      <w:pPr>
        <w:pStyle w:val="af"/>
        <w:rPr>
          <w:rFonts w:ascii="FrankRuehl" w:hAnsi="FrankRuehl"/>
        </w:rPr>
      </w:pPr>
      <w:r w:rsidRPr="00E9089A">
        <w:rPr>
          <w:rFonts w:ascii="FrankRuehl" w:hAnsi="FrankRuehl"/>
          <w:rtl/>
        </w:rPr>
        <w:t>שינוי זה נבע משילוב של תהליכים חברתיים, משפטיים והיסטוריים רחבי היקף, ובהם התפתחות</w:t>
      </w:r>
      <w:r w:rsidR="005E10F5">
        <w:rPr>
          <w:rFonts w:ascii="FrankRuehl" w:hAnsi="FrankRuehl" w:hint="cs"/>
          <w:rtl/>
        </w:rPr>
        <w:t xml:space="preserve"> </w:t>
      </w:r>
      <w:r w:rsidRPr="00E9089A">
        <w:rPr>
          <w:rFonts w:ascii="FrankRuehl" w:hAnsi="FrankRuehl"/>
          <w:rtl/>
        </w:rPr>
        <w:t>תפיסות </w:t>
      </w:r>
      <w:hyperlink r:id="rId10" w:tooltip="זכויות האדם" w:history="1">
        <w:r w:rsidRPr="00E9089A">
          <w:rPr>
            <w:rFonts w:ascii="FrankRuehl" w:hAnsi="FrankRuehl"/>
            <w:rtl/>
          </w:rPr>
          <w:t>זכויות</w:t>
        </w:r>
        <w:r w:rsidR="00E9089A" w:rsidRPr="00E9089A">
          <w:rPr>
            <w:rFonts w:ascii="FrankRuehl" w:hAnsi="FrankRuehl"/>
            <w:rtl/>
          </w:rPr>
          <w:t xml:space="preserve"> </w:t>
        </w:r>
        <w:r w:rsidRPr="00E9089A">
          <w:rPr>
            <w:rFonts w:ascii="FrankRuehl" w:hAnsi="FrankRuehl"/>
            <w:rtl/>
          </w:rPr>
          <w:t>האדם</w:t>
        </w:r>
      </w:hyperlink>
      <w:r w:rsidRPr="00E9089A">
        <w:rPr>
          <w:rFonts w:ascii="FrankRuehl" w:hAnsi="FrankRuehl"/>
        </w:rPr>
        <w:t> </w:t>
      </w:r>
      <w:r w:rsidRPr="00E9089A">
        <w:rPr>
          <w:rFonts w:ascii="FrankRuehl" w:hAnsi="FrankRuehl"/>
          <w:rtl/>
        </w:rPr>
        <w:t>לאחר </w:t>
      </w:r>
      <w:hyperlink r:id="rId11" w:tooltip="מלחמת העולם השנייה" w:history="1">
        <w:r w:rsidRPr="00E9089A">
          <w:rPr>
            <w:rFonts w:ascii="FrankRuehl" w:hAnsi="FrankRuehl"/>
            <w:rtl/>
          </w:rPr>
          <w:t>מלחמת העולם</w:t>
        </w:r>
        <w:r w:rsidR="005E10F5">
          <w:rPr>
            <w:rFonts w:ascii="FrankRuehl" w:hAnsi="FrankRuehl" w:hint="cs"/>
            <w:rtl/>
          </w:rPr>
          <w:t xml:space="preserve"> </w:t>
        </w:r>
        <w:r w:rsidRPr="00E9089A">
          <w:rPr>
            <w:rFonts w:ascii="FrankRuehl" w:hAnsi="FrankRuehl"/>
            <w:rtl/>
          </w:rPr>
          <w:t>השנייה</w:t>
        </w:r>
      </w:hyperlink>
      <w:r w:rsidRPr="00E9089A">
        <w:rPr>
          <w:rFonts w:ascii="FrankRuehl" w:hAnsi="FrankRuehl"/>
        </w:rPr>
        <w:t>,</w:t>
      </w:r>
      <w:r w:rsidR="00E26951" w:rsidRPr="00E9089A">
        <w:rPr>
          <w:rFonts w:ascii="FrankRuehl" w:hAnsi="FrankRuehl"/>
          <w:rtl/>
        </w:rPr>
        <w:t xml:space="preserve"> </w:t>
      </w:r>
      <w:r w:rsidRPr="00E9089A">
        <w:rPr>
          <w:rFonts w:ascii="FrankRuehl" w:hAnsi="FrankRuehl"/>
          <w:rtl/>
        </w:rPr>
        <w:t>לצד עליית המחקר</w:t>
      </w:r>
      <w:r w:rsidR="00E9089A" w:rsidRPr="00E9089A">
        <w:rPr>
          <w:rFonts w:ascii="FrankRuehl" w:hAnsi="FrankRuehl"/>
          <w:rtl/>
        </w:rPr>
        <w:t xml:space="preserve"> </w:t>
      </w:r>
      <w:r w:rsidRPr="00E9089A">
        <w:rPr>
          <w:rFonts w:ascii="FrankRuehl" w:hAnsi="FrankRuehl"/>
          <w:rtl/>
        </w:rPr>
        <w:t>ה</w:t>
      </w:r>
      <w:hyperlink r:id="rId12" w:tooltip="פסיכולוגיה" w:history="1">
        <w:r w:rsidRPr="00E9089A">
          <w:rPr>
            <w:rFonts w:ascii="FrankRuehl" w:hAnsi="FrankRuehl"/>
            <w:rtl/>
          </w:rPr>
          <w:t>פסיכולוגי</w:t>
        </w:r>
      </w:hyperlink>
      <w:r w:rsidRPr="00E9089A">
        <w:rPr>
          <w:rFonts w:ascii="FrankRuehl" w:hAnsi="FrankRuehl"/>
        </w:rPr>
        <w:t> </w:t>
      </w:r>
      <w:r w:rsidRPr="00E9089A">
        <w:rPr>
          <w:rFonts w:ascii="FrankRuehl" w:hAnsi="FrankRuehl"/>
          <w:rtl/>
        </w:rPr>
        <w:t>וה</w:t>
      </w:r>
      <w:hyperlink r:id="rId13" w:tooltip="סוציולוגיה" w:history="1">
        <w:r w:rsidRPr="00E9089A">
          <w:rPr>
            <w:rFonts w:ascii="FrankRuehl" w:hAnsi="FrankRuehl"/>
            <w:rtl/>
          </w:rPr>
          <w:t>סוציולוגי</w:t>
        </w:r>
      </w:hyperlink>
      <w:r w:rsidRPr="00E9089A">
        <w:rPr>
          <w:rFonts w:ascii="FrankRuehl" w:hAnsi="FrankRuehl"/>
        </w:rPr>
        <w:t> </w:t>
      </w:r>
      <w:r w:rsidRPr="00E9089A">
        <w:rPr>
          <w:rFonts w:ascii="FrankRuehl" w:hAnsi="FrankRuehl"/>
          <w:rtl/>
        </w:rPr>
        <w:t>בדבר התפתחות ילדים. תהליכים אלה ערערו את ההנחה המסורתית שלפיה טובת הילד מובטחת באופן אוטומטי באמצעות סמכותם של הורים או </w:t>
      </w:r>
      <w:hyperlink r:id="rId14" w:tooltip="אפוטרופוס" w:history="1">
        <w:r w:rsidRPr="00E9089A">
          <w:rPr>
            <w:rFonts w:ascii="FrankRuehl" w:hAnsi="FrankRuehl"/>
            <w:rtl/>
          </w:rPr>
          <w:t>אפוטרופוסים</w:t>
        </w:r>
      </w:hyperlink>
      <w:r w:rsidRPr="00E9089A">
        <w:rPr>
          <w:rFonts w:ascii="FrankRuehl" w:hAnsi="FrankRuehl"/>
        </w:rPr>
        <w:t>,</w:t>
      </w:r>
      <w:r w:rsidR="00E26951" w:rsidRPr="00E9089A">
        <w:rPr>
          <w:rFonts w:ascii="FrankRuehl" w:hAnsi="FrankRuehl"/>
          <w:rtl/>
        </w:rPr>
        <w:t xml:space="preserve"> </w:t>
      </w:r>
      <w:r w:rsidRPr="00E9089A">
        <w:rPr>
          <w:rFonts w:ascii="FrankRuehl" w:hAnsi="FrankRuehl"/>
          <w:rtl/>
        </w:rPr>
        <w:t>והובילו להכרה בכך שילדים עלולים להיפגע גם בתוך מסגרות הנתפסות כמגינות מטבען.</w:t>
      </w:r>
    </w:p>
    <w:p w14:paraId="73B3360F" w14:textId="77777777" w:rsidR="00C97EDD" w:rsidRPr="00E9089A" w:rsidRDefault="00C97EDD" w:rsidP="00E9089A">
      <w:pPr>
        <w:snapToGrid w:val="0"/>
        <w:spacing w:after="120" w:line="276" w:lineRule="auto"/>
        <w:ind w:firstLine="397"/>
        <w:rPr>
          <w:rFonts w:ascii="FrankRuehl" w:eastAsia="Calibri" w:hAnsi="FrankRuehl"/>
          <w:kern w:val="28"/>
          <w:sz w:val="28"/>
          <w:rtl/>
        </w:rPr>
      </w:pPr>
      <w:r w:rsidRPr="00E9089A">
        <w:rPr>
          <w:rFonts w:ascii="FrankRuehl" w:eastAsia="Calibri" w:hAnsi="FrankRuehl"/>
          <w:kern w:val="28"/>
          <w:sz w:val="28"/>
          <w:rtl/>
        </w:rPr>
        <w:t>בהדרגה התפתחה ההכרה בילדים כנושאי זכויות עצמאיות, ולא רק כמי שזקוקים להגנה, והתגבשה ההבנה כי טובת הילד מחייבת בחינה נפרדת של מצבו וצרכיו של כל ילד</w:t>
      </w:r>
      <w:r w:rsidRPr="00E9089A">
        <w:rPr>
          <w:rFonts w:ascii="FrankRuehl" w:eastAsia="Calibri" w:hAnsi="FrankRuehl"/>
          <w:kern w:val="28"/>
          <w:sz w:val="28"/>
        </w:rPr>
        <w:t>. </w:t>
      </w:r>
      <w:r w:rsidRPr="00E9089A">
        <w:rPr>
          <w:rFonts w:ascii="FrankRuehl" w:eastAsia="Calibri" w:hAnsi="FrankRuehl"/>
          <w:kern w:val="28"/>
          <w:sz w:val="28"/>
          <w:rtl/>
        </w:rPr>
        <w:t xml:space="preserve">שינוי זה </w:t>
      </w:r>
      <w:r w:rsidRPr="00E9089A">
        <w:rPr>
          <w:rFonts w:ascii="FrankRuehl" w:eastAsia="Calibri" w:hAnsi="FrankRuehl"/>
          <w:kern w:val="28"/>
          <w:sz w:val="28"/>
          <w:rtl/>
        </w:rPr>
        <w:lastRenderedPageBreak/>
        <w:t>קיבל ביטוי מובהק באימוצה של </w:t>
      </w:r>
      <w:hyperlink r:id="rId15" w:tooltip="אמנת זכויות הילד" w:history="1">
        <w:r w:rsidRPr="00E9089A">
          <w:rPr>
            <w:rFonts w:ascii="FrankRuehl" w:eastAsia="Calibri" w:hAnsi="FrankRuehl"/>
            <w:kern w:val="28"/>
            <w:sz w:val="28"/>
            <w:rtl/>
          </w:rPr>
          <w:t>אמנת האו"ם בדבר זכויות הילד</w:t>
        </w:r>
      </w:hyperlink>
      <w:r w:rsidRPr="00E9089A">
        <w:rPr>
          <w:rFonts w:ascii="FrankRuehl" w:eastAsia="Calibri" w:hAnsi="FrankRuehl"/>
          <w:kern w:val="28"/>
          <w:sz w:val="28"/>
        </w:rPr>
        <w:t> </w:t>
      </w:r>
      <w:r w:rsidRPr="00E9089A">
        <w:rPr>
          <w:rFonts w:ascii="FrankRuehl" w:eastAsia="Calibri" w:hAnsi="FrankRuehl"/>
          <w:kern w:val="28"/>
          <w:sz w:val="28"/>
          <w:rtl/>
        </w:rPr>
        <w:t>משנת 1989, אשר עיגנה את עקרון טובת הילד כעיקרון מחייב במשפט הבין-לאומי. פרשנות האמנה בפסיקת בתי דין בין-לאומיים ובהערות הכלליות של ועדת זכויות הילד של </w:t>
      </w:r>
      <w:hyperlink r:id="rId16" w:tooltip="האומות המאוחדות" w:history="1">
        <w:r w:rsidRPr="00E9089A">
          <w:rPr>
            <w:rFonts w:ascii="FrankRuehl" w:eastAsia="Calibri" w:hAnsi="FrankRuehl"/>
            <w:kern w:val="28"/>
            <w:sz w:val="28"/>
            <w:rtl/>
          </w:rPr>
          <w:t>האו"ם</w:t>
        </w:r>
      </w:hyperlink>
      <w:r w:rsidRPr="00E9089A">
        <w:rPr>
          <w:rFonts w:ascii="FrankRuehl" w:eastAsia="Calibri" w:hAnsi="FrankRuehl"/>
          <w:kern w:val="28"/>
          <w:sz w:val="28"/>
        </w:rPr>
        <w:t> </w:t>
      </w:r>
      <w:r w:rsidRPr="00E9089A">
        <w:rPr>
          <w:rFonts w:ascii="FrankRuehl" w:eastAsia="Calibri" w:hAnsi="FrankRuehl"/>
          <w:kern w:val="28"/>
          <w:sz w:val="28"/>
          <w:rtl/>
        </w:rPr>
        <w:t>הדגישה כי העיקרון אינו הצהרתי בלבד, אלא בעל משמעות מעשית מחייבת, ומשמש הן כלי פרשני מרכזי והן שיקול מהותי בכל הליך קבלת החלטות הנוגע לילדים</w:t>
      </w:r>
      <w:r w:rsidRPr="00E9089A">
        <w:rPr>
          <w:rFonts w:ascii="FrankRuehl" w:eastAsia="Calibri" w:hAnsi="FrankRuehl"/>
          <w:kern w:val="28"/>
          <w:sz w:val="28"/>
        </w:rPr>
        <w:t>.</w:t>
      </w:r>
    </w:p>
    <w:p w14:paraId="3D2DCEAB" w14:textId="5516E68C" w:rsidR="00C97EDD" w:rsidRPr="00E9089A" w:rsidRDefault="00C97EDD" w:rsidP="00E9089A">
      <w:pPr>
        <w:snapToGrid w:val="0"/>
        <w:spacing w:after="120" w:line="276" w:lineRule="auto"/>
        <w:ind w:firstLine="397"/>
        <w:rPr>
          <w:rFonts w:ascii="FrankRuehl" w:eastAsia="Calibri" w:hAnsi="FrankRuehl"/>
          <w:kern w:val="28"/>
          <w:sz w:val="28"/>
          <w:rtl/>
        </w:rPr>
      </w:pPr>
      <w:r w:rsidRPr="00E9089A">
        <w:rPr>
          <w:rFonts w:ascii="FrankRuehl" w:eastAsia="Calibri" w:hAnsi="FrankRuehl"/>
          <w:kern w:val="28"/>
          <w:sz w:val="28"/>
          <w:rtl/>
        </w:rPr>
        <w:t>התחומים העיקריים בהם התקבל מונח זה כעיקרון פעולה הם חינוך, בריאות ורווחה. אולם אין בטובת הילד כדי ליצור יש מאין, להעביר לבעלות</w:t>
      </w:r>
      <w:r w:rsidR="00E26951" w:rsidRPr="00E9089A">
        <w:rPr>
          <w:rFonts w:ascii="FrankRuehl" w:eastAsia="Calibri" w:hAnsi="FrankRuehl"/>
          <w:kern w:val="28"/>
          <w:sz w:val="28"/>
          <w:rtl/>
        </w:rPr>
        <w:t>ו</w:t>
      </w:r>
      <w:r w:rsidRPr="00E9089A">
        <w:rPr>
          <w:rFonts w:ascii="FrankRuehl" w:eastAsia="Calibri" w:hAnsi="FrankRuehl"/>
          <w:kern w:val="28"/>
          <w:sz w:val="28"/>
          <w:rtl/>
        </w:rPr>
        <w:t xml:space="preserve"> זכויות ממוניות שאינן שלו. </w:t>
      </w:r>
    </w:p>
    <w:p w14:paraId="7E7DEA43" w14:textId="77777777" w:rsidR="00E26951" w:rsidRPr="00E9089A" w:rsidRDefault="00C97EDD" w:rsidP="00E9089A">
      <w:pPr>
        <w:snapToGrid w:val="0"/>
        <w:spacing w:after="120" w:line="276" w:lineRule="auto"/>
        <w:ind w:firstLine="397"/>
        <w:rPr>
          <w:rFonts w:ascii="FrankRuehl" w:eastAsia="Calibri" w:hAnsi="FrankRuehl"/>
          <w:kern w:val="28"/>
          <w:sz w:val="28"/>
          <w:rtl/>
        </w:rPr>
      </w:pPr>
      <w:r w:rsidRPr="00E9089A">
        <w:rPr>
          <w:rFonts w:ascii="FrankRuehl" w:eastAsia="Calibri" w:hAnsi="FrankRuehl"/>
          <w:kern w:val="28"/>
          <w:sz w:val="28"/>
          <w:rtl/>
        </w:rPr>
        <w:t>שלישית</w:t>
      </w:r>
      <w:r w:rsidR="00E26951" w:rsidRPr="00E9089A">
        <w:rPr>
          <w:rFonts w:ascii="FrankRuehl" w:eastAsia="Calibri" w:hAnsi="FrankRuehl"/>
          <w:kern w:val="28"/>
          <w:sz w:val="28"/>
          <w:rtl/>
        </w:rPr>
        <w:t>,</w:t>
      </w:r>
      <w:r w:rsidRPr="00E9089A">
        <w:rPr>
          <w:rFonts w:ascii="FrankRuehl" w:eastAsia="Calibri" w:hAnsi="FrankRuehl"/>
          <w:kern w:val="28"/>
          <w:sz w:val="28"/>
          <w:rtl/>
        </w:rPr>
        <w:t xml:space="preserve"> מהחול אל הקודש. הטענה להעדפת הילד נשענת על היותו חלש ודל בהתייחס לחברה הכלכלית הנוהגת בעולם המערבי. למעשה, הבקשה היא </w:t>
      </w:r>
      <w:r w:rsidR="00E26951" w:rsidRPr="00E9089A">
        <w:rPr>
          <w:rFonts w:ascii="FrankRuehl" w:eastAsia="Calibri" w:hAnsi="FrankRuehl"/>
          <w:kern w:val="28"/>
          <w:sz w:val="28"/>
          <w:rtl/>
        </w:rPr>
        <w:t>'</w:t>
      </w:r>
      <w:r w:rsidRPr="00E9089A">
        <w:rPr>
          <w:rFonts w:ascii="FrankRuehl" w:eastAsia="Calibri" w:hAnsi="FrankRuehl"/>
          <w:kern w:val="28"/>
          <w:sz w:val="28"/>
          <w:rtl/>
        </w:rPr>
        <w:t>לשאת פני דל</w:t>
      </w:r>
      <w:r w:rsidR="00E26951" w:rsidRPr="00E9089A">
        <w:rPr>
          <w:rFonts w:ascii="FrankRuehl" w:eastAsia="Calibri" w:hAnsi="FrankRuehl"/>
          <w:kern w:val="28"/>
          <w:sz w:val="28"/>
          <w:rtl/>
        </w:rPr>
        <w:t>'</w:t>
      </w:r>
      <w:r w:rsidRPr="00E9089A">
        <w:rPr>
          <w:rFonts w:ascii="FrankRuehl" w:eastAsia="Calibri" w:hAnsi="FrankRuehl"/>
          <w:kern w:val="28"/>
          <w:sz w:val="28"/>
          <w:rtl/>
        </w:rPr>
        <w:t>. ויש לדון בדבר.</w:t>
      </w:r>
    </w:p>
    <w:p w14:paraId="371505BC" w14:textId="03FC789E" w:rsidR="00C97EDD" w:rsidRPr="00E9089A" w:rsidRDefault="00C97EDD" w:rsidP="00E9089A">
      <w:pPr>
        <w:snapToGrid w:val="0"/>
        <w:spacing w:after="120" w:line="276" w:lineRule="auto"/>
        <w:ind w:firstLine="397"/>
        <w:rPr>
          <w:rFonts w:ascii="FrankRuehl" w:eastAsia="Calibri" w:hAnsi="FrankRuehl"/>
          <w:kern w:val="28"/>
          <w:sz w:val="28"/>
          <w:rtl/>
        </w:rPr>
      </w:pPr>
      <w:r w:rsidRPr="00E9089A">
        <w:rPr>
          <w:rFonts w:ascii="FrankRuehl" w:eastAsia="Calibri" w:hAnsi="FrankRuehl"/>
          <w:kern w:val="28"/>
          <w:sz w:val="28"/>
          <w:rtl/>
        </w:rPr>
        <w:t xml:space="preserve"> מחד ציוותה תורה בפרשת משפטים </w:t>
      </w:r>
      <w:r w:rsidR="00E26951" w:rsidRPr="00BA19D6">
        <w:rPr>
          <w:rFonts w:ascii="FrankRuehl" w:eastAsia="Calibri" w:hAnsi="FrankRuehl"/>
          <w:kern w:val="28"/>
          <w:sz w:val="28"/>
          <w:szCs w:val="24"/>
          <w:rtl/>
        </w:rPr>
        <w:t>(</w:t>
      </w:r>
      <w:r w:rsidRPr="00BA19D6">
        <w:rPr>
          <w:rFonts w:ascii="FrankRuehl" w:eastAsia="Calibri" w:hAnsi="FrankRuehl"/>
          <w:kern w:val="28"/>
          <w:sz w:val="28"/>
          <w:szCs w:val="24"/>
          <w:rtl/>
        </w:rPr>
        <w:t>שמות כ"ג ג'</w:t>
      </w:r>
      <w:r w:rsidR="00E26951" w:rsidRPr="00BA19D6">
        <w:rPr>
          <w:rFonts w:ascii="FrankRuehl" w:eastAsia="Calibri" w:hAnsi="FrankRuehl"/>
          <w:kern w:val="28"/>
          <w:sz w:val="28"/>
          <w:szCs w:val="24"/>
          <w:rtl/>
        </w:rPr>
        <w:t>)</w:t>
      </w:r>
      <w:r w:rsidRPr="00E9089A">
        <w:rPr>
          <w:rFonts w:ascii="FrankRuehl" w:eastAsia="Calibri" w:hAnsi="FrankRuehl"/>
          <w:kern w:val="28"/>
          <w:sz w:val="28"/>
          <w:rtl/>
        </w:rPr>
        <w:t xml:space="preserve"> "ודל לא תהדר בריבו". עם זאת, מצינו בדברי רבותינו שצירפו מידת הרחמים למידת הדין, למשל שיטת הירושלמי בכתובות </w:t>
      </w:r>
      <w:r w:rsidR="00E26951" w:rsidRPr="00BA19D6">
        <w:rPr>
          <w:rFonts w:ascii="FrankRuehl" w:eastAsia="Calibri" w:hAnsi="FrankRuehl"/>
          <w:kern w:val="28"/>
          <w:sz w:val="28"/>
          <w:szCs w:val="24"/>
          <w:rtl/>
        </w:rPr>
        <w:t>(</w:t>
      </w:r>
      <w:r w:rsidRPr="00BA19D6">
        <w:rPr>
          <w:rFonts w:ascii="FrankRuehl" w:eastAsia="Calibri" w:hAnsi="FrankRuehl"/>
          <w:kern w:val="28"/>
          <w:sz w:val="28"/>
          <w:szCs w:val="24"/>
          <w:rtl/>
        </w:rPr>
        <w:t>פרק ט</w:t>
      </w:r>
      <w:r w:rsidR="00E91762" w:rsidRPr="00BA19D6">
        <w:rPr>
          <w:rFonts w:ascii="FrankRuehl" w:eastAsia="Calibri" w:hAnsi="FrankRuehl" w:hint="cs"/>
          <w:kern w:val="28"/>
          <w:sz w:val="28"/>
          <w:szCs w:val="24"/>
          <w:rtl/>
        </w:rPr>
        <w:t>'</w:t>
      </w:r>
      <w:r w:rsidRPr="00BA19D6">
        <w:rPr>
          <w:rFonts w:ascii="FrankRuehl" w:eastAsia="Calibri" w:hAnsi="FrankRuehl"/>
          <w:kern w:val="28"/>
          <w:sz w:val="28"/>
          <w:szCs w:val="24"/>
          <w:rtl/>
        </w:rPr>
        <w:t xml:space="preserve"> הלכה ז'</w:t>
      </w:r>
      <w:r w:rsidR="00E26951" w:rsidRPr="00BA19D6">
        <w:rPr>
          <w:rFonts w:ascii="FrankRuehl" w:eastAsia="Calibri" w:hAnsi="FrankRuehl"/>
          <w:kern w:val="28"/>
          <w:sz w:val="28"/>
          <w:szCs w:val="24"/>
          <w:rtl/>
        </w:rPr>
        <w:t>)</w:t>
      </w:r>
      <w:r w:rsidR="00E26951" w:rsidRPr="00E9089A">
        <w:rPr>
          <w:rFonts w:ascii="FrankRuehl" w:eastAsia="Calibri" w:hAnsi="FrankRuehl"/>
          <w:kern w:val="28"/>
          <w:sz w:val="28"/>
          <w:rtl/>
        </w:rPr>
        <w:t xml:space="preserve"> </w:t>
      </w:r>
      <w:r w:rsidRPr="00E9089A">
        <w:rPr>
          <w:rFonts w:ascii="FrankRuehl" w:eastAsia="Calibri" w:hAnsi="FrankRuehl"/>
          <w:kern w:val="28"/>
          <w:sz w:val="28"/>
          <w:rtl/>
        </w:rPr>
        <w:t xml:space="preserve">בעניין גביית חוב מיתומים, שביתומים קטנים דווקא אין גובים אלא מן הזיבורית, </w:t>
      </w:r>
      <w:proofErr w:type="spellStart"/>
      <w:r w:rsidRPr="00E9089A">
        <w:rPr>
          <w:rFonts w:ascii="FrankRuehl" w:eastAsia="Calibri" w:hAnsi="FrankRuehl"/>
          <w:kern w:val="28"/>
          <w:sz w:val="28"/>
          <w:rtl/>
        </w:rPr>
        <w:t>משא"כ</w:t>
      </w:r>
      <w:proofErr w:type="spellEnd"/>
      <w:r w:rsidRPr="00E9089A">
        <w:rPr>
          <w:rFonts w:ascii="FrankRuehl" w:eastAsia="Calibri" w:hAnsi="FrankRuehl"/>
          <w:kern w:val="28"/>
          <w:sz w:val="28"/>
          <w:rtl/>
        </w:rPr>
        <w:t xml:space="preserve"> בגדולים. וכן מצינו מה שציוותה תורה בדברים </w:t>
      </w:r>
      <w:r w:rsidR="00E26951" w:rsidRPr="00BA19D6">
        <w:rPr>
          <w:rFonts w:ascii="FrankRuehl" w:eastAsia="Calibri" w:hAnsi="FrankRuehl"/>
          <w:kern w:val="28"/>
          <w:sz w:val="28"/>
          <w:szCs w:val="24"/>
          <w:rtl/>
        </w:rPr>
        <w:t>(ו</w:t>
      </w:r>
      <w:r w:rsidR="00E91762" w:rsidRPr="00BA19D6">
        <w:rPr>
          <w:rFonts w:ascii="FrankRuehl" w:eastAsia="Calibri" w:hAnsi="FrankRuehl" w:hint="cs"/>
          <w:kern w:val="28"/>
          <w:sz w:val="28"/>
          <w:szCs w:val="24"/>
          <w:rtl/>
        </w:rPr>
        <w:t>'</w:t>
      </w:r>
      <w:r w:rsidR="00E26951" w:rsidRPr="00BA19D6">
        <w:rPr>
          <w:rFonts w:ascii="FrankRuehl" w:eastAsia="Calibri" w:hAnsi="FrankRuehl"/>
          <w:kern w:val="28"/>
          <w:sz w:val="28"/>
          <w:szCs w:val="24"/>
          <w:rtl/>
        </w:rPr>
        <w:t>,</w:t>
      </w:r>
      <w:r w:rsidR="00E91762" w:rsidRPr="00BA19D6">
        <w:rPr>
          <w:rFonts w:ascii="FrankRuehl" w:eastAsia="Calibri" w:hAnsi="FrankRuehl" w:hint="cs"/>
          <w:kern w:val="28"/>
          <w:sz w:val="28"/>
          <w:szCs w:val="24"/>
          <w:rtl/>
        </w:rPr>
        <w:t xml:space="preserve"> </w:t>
      </w:r>
      <w:r w:rsidR="00E26951" w:rsidRPr="00BA19D6">
        <w:rPr>
          <w:rFonts w:ascii="FrankRuehl" w:eastAsia="Calibri" w:hAnsi="FrankRuehl"/>
          <w:kern w:val="28"/>
          <w:sz w:val="28"/>
          <w:szCs w:val="24"/>
          <w:rtl/>
        </w:rPr>
        <w:t>י"ח)</w:t>
      </w:r>
      <w:r w:rsidRPr="00E9089A">
        <w:rPr>
          <w:rFonts w:ascii="FrankRuehl" w:eastAsia="Calibri" w:hAnsi="FrankRuehl"/>
          <w:kern w:val="28"/>
          <w:sz w:val="28"/>
          <w:rtl/>
        </w:rPr>
        <w:t xml:space="preserve"> "ועשית הישר והטוב"</w:t>
      </w:r>
      <w:r w:rsidR="00E91762">
        <w:rPr>
          <w:rFonts w:ascii="FrankRuehl" w:eastAsia="Calibri" w:hAnsi="FrankRuehl" w:hint="cs"/>
          <w:kern w:val="28"/>
          <w:sz w:val="28"/>
          <w:rtl/>
        </w:rPr>
        <w:t>,</w:t>
      </w:r>
      <w:r w:rsidRPr="00E9089A">
        <w:rPr>
          <w:rFonts w:ascii="FrankRuehl" w:eastAsia="Calibri" w:hAnsi="FrankRuehl"/>
          <w:kern w:val="28"/>
          <w:sz w:val="28"/>
          <w:rtl/>
        </w:rPr>
        <w:t xml:space="preserve"> וייסדו חכמים על פסוק זה </w:t>
      </w:r>
      <w:proofErr w:type="spellStart"/>
      <w:r w:rsidRPr="00E9089A">
        <w:rPr>
          <w:rFonts w:ascii="FrankRuehl" w:eastAsia="Calibri" w:hAnsi="FrankRuehl"/>
          <w:kern w:val="28"/>
          <w:sz w:val="28"/>
          <w:rtl/>
        </w:rPr>
        <w:t>בבבא</w:t>
      </w:r>
      <w:proofErr w:type="spellEnd"/>
      <w:r w:rsidRPr="00E9089A">
        <w:rPr>
          <w:rFonts w:ascii="FrankRuehl" w:eastAsia="Calibri" w:hAnsi="FrankRuehl"/>
          <w:kern w:val="28"/>
          <w:sz w:val="28"/>
          <w:rtl/>
        </w:rPr>
        <w:t xml:space="preserve"> מציעא </w:t>
      </w:r>
      <w:r w:rsidR="00E26951" w:rsidRPr="00BA19D6">
        <w:rPr>
          <w:rFonts w:ascii="FrankRuehl" w:eastAsia="Calibri" w:hAnsi="FrankRuehl"/>
          <w:kern w:val="28"/>
          <w:sz w:val="28"/>
          <w:szCs w:val="24"/>
          <w:rtl/>
        </w:rPr>
        <w:t>(</w:t>
      </w:r>
      <w:r w:rsidRPr="00BA19D6">
        <w:rPr>
          <w:rFonts w:ascii="FrankRuehl" w:eastAsia="Calibri" w:hAnsi="FrankRuehl"/>
          <w:kern w:val="28"/>
          <w:sz w:val="28"/>
          <w:szCs w:val="24"/>
          <w:rtl/>
        </w:rPr>
        <w:t>דף קח.</w:t>
      </w:r>
      <w:r w:rsidR="00E26951" w:rsidRPr="00BA19D6">
        <w:rPr>
          <w:rFonts w:ascii="FrankRuehl" w:eastAsia="Calibri" w:hAnsi="FrankRuehl"/>
          <w:kern w:val="28"/>
          <w:sz w:val="28"/>
          <w:szCs w:val="24"/>
          <w:rtl/>
        </w:rPr>
        <w:t>)</w:t>
      </w:r>
      <w:r w:rsidRPr="00E9089A">
        <w:rPr>
          <w:rFonts w:ascii="FrankRuehl" w:eastAsia="Calibri" w:hAnsi="FrankRuehl"/>
          <w:kern w:val="28"/>
          <w:sz w:val="28"/>
          <w:rtl/>
        </w:rPr>
        <w:t xml:space="preserve"> את </w:t>
      </w:r>
      <w:r w:rsidR="00E26951" w:rsidRPr="00E9089A">
        <w:rPr>
          <w:rFonts w:ascii="FrankRuehl" w:eastAsia="Calibri" w:hAnsi="FrankRuehl"/>
          <w:kern w:val="28"/>
          <w:sz w:val="28"/>
          <w:rtl/>
        </w:rPr>
        <w:t>'</w:t>
      </w:r>
      <w:proofErr w:type="spellStart"/>
      <w:r w:rsidRPr="00E9089A">
        <w:rPr>
          <w:rFonts w:ascii="FrankRuehl" w:eastAsia="Calibri" w:hAnsi="FrankRuehl"/>
          <w:kern w:val="28"/>
          <w:sz w:val="28"/>
          <w:rtl/>
        </w:rPr>
        <w:t>דינא</w:t>
      </w:r>
      <w:proofErr w:type="spellEnd"/>
      <w:r w:rsidRPr="00E9089A">
        <w:rPr>
          <w:rFonts w:ascii="FrankRuehl" w:eastAsia="Calibri" w:hAnsi="FrankRuehl"/>
          <w:kern w:val="28"/>
          <w:sz w:val="28"/>
          <w:rtl/>
        </w:rPr>
        <w:t xml:space="preserve"> דבר </w:t>
      </w:r>
      <w:proofErr w:type="spellStart"/>
      <w:r w:rsidRPr="00E9089A">
        <w:rPr>
          <w:rFonts w:ascii="FrankRuehl" w:eastAsia="Calibri" w:hAnsi="FrankRuehl"/>
          <w:kern w:val="28"/>
          <w:sz w:val="28"/>
          <w:rtl/>
        </w:rPr>
        <w:t>מצרא</w:t>
      </w:r>
      <w:proofErr w:type="spellEnd"/>
      <w:r w:rsidR="00E26951" w:rsidRPr="00E9089A">
        <w:rPr>
          <w:rFonts w:ascii="FrankRuehl" w:eastAsia="Calibri" w:hAnsi="FrankRuehl"/>
          <w:kern w:val="28"/>
          <w:sz w:val="28"/>
          <w:rtl/>
        </w:rPr>
        <w:t>'</w:t>
      </w:r>
      <w:r w:rsidRPr="00E9089A">
        <w:rPr>
          <w:rFonts w:ascii="FrankRuehl" w:eastAsia="Calibri" w:hAnsi="FrankRuehl"/>
          <w:kern w:val="28"/>
          <w:sz w:val="28"/>
          <w:rtl/>
        </w:rPr>
        <w:t xml:space="preserve"> ואת דין </w:t>
      </w:r>
      <w:r w:rsidR="00E26951" w:rsidRPr="00E9089A">
        <w:rPr>
          <w:rFonts w:ascii="FrankRuehl" w:eastAsia="Calibri" w:hAnsi="FrankRuehl"/>
          <w:kern w:val="28"/>
          <w:sz w:val="28"/>
          <w:rtl/>
        </w:rPr>
        <w:t>'</w:t>
      </w:r>
      <w:proofErr w:type="spellStart"/>
      <w:r w:rsidRPr="00E9089A">
        <w:rPr>
          <w:rFonts w:ascii="FrankRuehl" w:eastAsia="Calibri" w:hAnsi="FrankRuehl"/>
          <w:kern w:val="28"/>
          <w:sz w:val="28"/>
          <w:rtl/>
        </w:rPr>
        <w:t>שומא</w:t>
      </w:r>
      <w:proofErr w:type="spellEnd"/>
      <w:r w:rsidRPr="00E9089A">
        <w:rPr>
          <w:rFonts w:ascii="FrankRuehl" w:eastAsia="Calibri" w:hAnsi="FrankRuehl"/>
          <w:kern w:val="28"/>
          <w:sz w:val="28"/>
          <w:rtl/>
        </w:rPr>
        <w:t xml:space="preserve"> הדר לעולם</w:t>
      </w:r>
      <w:r w:rsidR="00E26951" w:rsidRPr="00E9089A">
        <w:rPr>
          <w:rFonts w:ascii="FrankRuehl" w:eastAsia="Calibri" w:hAnsi="FrankRuehl"/>
          <w:kern w:val="28"/>
          <w:sz w:val="28"/>
          <w:rtl/>
        </w:rPr>
        <w:t>'</w:t>
      </w:r>
      <w:r w:rsidRPr="00E9089A">
        <w:rPr>
          <w:rFonts w:ascii="FrankRuehl" w:eastAsia="Calibri" w:hAnsi="FrankRuehl"/>
          <w:kern w:val="28"/>
          <w:sz w:val="28"/>
          <w:rtl/>
        </w:rPr>
        <w:t xml:space="preserve">. </w:t>
      </w:r>
      <w:r w:rsidR="00E26951" w:rsidRPr="00E9089A">
        <w:rPr>
          <w:rFonts w:ascii="FrankRuehl" w:eastAsia="Calibri" w:hAnsi="FrankRuehl"/>
          <w:kern w:val="28"/>
          <w:sz w:val="28"/>
          <w:rtl/>
        </w:rPr>
        <w:t xml:space="preserve">ומובא עוד </w:t>
      </w:r>
      <w:r w:rsidR="00E26951" w:rsidRPr="00BA19D6">
        <w:rPr>
          <w:rFonts w:ascii="FrankRuehl" w:eastAsia="Calibri" w:hAnsi="FrankRuehl"/>
          <w:kern w:val="28"/>
          <w:sz w:val="28"/>
          <w:szCs w:val="24"/>
          <w:rtl/>
        </w:rPr>
        <w:t>(</w:t>
      </w:r>
      <w:r w:rsidRPr="00BA19D6">
        <w:rPr>
          <w:rFonts w:ascii="FrankRuehl" w:eastAsia="Calibri" w:hAnsi="FrankRuehl"/>
          <w:kern w:val="28"/>
          <w:sz w:val="28"/>
          <w:szCs w:val="24"/>
          <w:rtl/>
        </w:rPr>
        <w:t xml:space="preserve">בבא מציעא </w:t>
      </w:r>
      <w:proofErr w:type="spellStart"/>
      <w:r w:rsidRPr="00BA19D6">
        <w:rPr>
          <w:rFonts w:ascii="FrankRuehl" w:eastAsia="Calibri" w:hAnsi="FrankRuehl"/>
          <w:kern w:val="28"/>
          <w:sz w:val="28"/>
          <w:szCs w:val="24"/>
          <w:rtl/>
        </w:rPr>
        <w:t>סג</w:t>
      </w:r>
      <w:proofErr w:type="spellEnd"/>
      <w:r w:rsidRPr="00BA19D6">
        <w:rPr>
          <w:rFonts w:ascii="FrankRuehl" w:eastAsia="Calibri" w:hAnsi="FrankRuehl"/>
          <w:kern w:val="28"/>
          <w:sz w:val="28"/>
          <w:szCs w:val="24"/>
          <w:rtl/>
        </w:rPr>
        <w:t>.</w:t>
      </w:r>
      <w:r w:rsidR="00E26951" w:rsidRPr="00BA19D6">
        <w:rPr>
          <w:rFonts w:ascii="FrankRuehl" w:eastAsia="Calibri" w:hAnsi="FrankRuehl"/>
          <w:kern w:val="28"/>
          <w:sz w:val="28"/>
          <w:szCs w:val="24"/>
          <w:rtl/>
        </w:rPr>
        <w:t>)</w:t>
      </w:r>
      <w:r w:rsidRPr="00E9089A">
        <w:rPr>
          <w:rFonts w:ascii="FrankRuehl" w:eastAsia="Calibri" w:hAnsi="FrankRuehl"/>
          <w:kern w:val="28"/>
          <w:sz w:val="28"/>
          <w:rtl/>
        </w:rPr>
        <w:t xml:space="preserve"> שחייב רב את רבה בר </w:t>
      </w:r>
      <w:proofErr w:type="spellStart"/>
      <w:r w:rsidRPr="00E9089A">
        <w:rPr>
          <w:rFonts w:ascii="FrankRuehl" w:eastAsia="Calibri" w:hAnsi="FrankRuehl"/>
          <w:kern w:val="28"/>
          <w:sz w:val="28"/>
          <w:rtl/>
        </w:rPr>
        <w:t>בר</w:t>
      </w:r>
      <w:proofErr w:type="spellEnd"/>
      <w:r w:rsidRPr="00E9089A">
        <w:rPr>
          <w:rFonts w:ascii="FrankRuehl" w:eastAsia="Calibri" w:hAnsi="FrankRuehl"/>
          <w:kern w:val="28"/>
          <w:sz w:val="28"/>
          <w:rtl/>
        </w:rPr>
        <w:t xml:space="preserve"> חנה להחזיר את </w:t>
      </w:r>
      <w:proofErr w:type="spellStart"/>
      <w:r w:rsidRPr="00E9089A">
        <w:rPr>
          <w:rFonts w:ascii="FrankRuehl" w:eastAsia="Calibri" w:hAnsi="FrankRuehl"/>
          <w:kern w:val="28"/>
          <w:sz w:val="28"/>
          <w:rtl/>
        </w:rPr>
        <w:t>הגלימא</w:t>
      </w:r>
      <w:proofErr w:type="spellEnd"/>
      <w:r w:rsidRPr="00E9089A">
        <w:rPr>
          <w:rFonts w:ascii="FrankRuehl" w:eastAsia="Calibri" w:hAnsi="FrankRuehl"/>
          <w:kern w:val="28"/>
          <w:sz w:val="28"/>
          <w:rtl/>
        </w:rPr>
        <w:t xml:space="preserve"> שלקח מהני </w:t>
      </w:r>
      <w:proofErr w:type="spellStart"/>
      <w:r w:rsidRPr="00E9089A">
        <w:rPr>
          <w:rFonts w:ascii="FrankRuehl" w:eastAsia="Calibri" w:hAnsi="FrankRuehl"/>
          <w:kern w:val="28"/>
          <w:sz w:val="28"/>
          <w:rtl/>
        </w:rPr>
        <w:t>שקולאי</w:t>
      </w:r>
      <w:proofErr w:type="spellEnd"/>
      <w:r w:rsidRPr="00E9089A">
        <w:rPr>
          <w:rFonts w:ascii="FrankRuehl" w:eastAsia="Calibri" w:hAnsi="FrankRuehl"/>
          <w:kern w:val="28"/>
          <w:sz w:val="28"/>
          <w:rtl/>
        </w:rPr>
        <w:t xml:space="preserve"> ואף לשלם להם שכרם על פי הפסוק במשלי </w:t>
      </w:r>
      <w:r w:rsidR="00E26951" w:rsidRPr="00BA19D6">
        <w:rPr>
          <w:rFonts w:ascii="FrankRuehl" w:eastAsia="Calibri" w:hAnsi="FrankRuehl"/>
          <w:kern w:val="28"/>
          <w:sz w:val="28"/>
          <w:szCs w:val="24"/>
          <w:rtl/>
        </w:rPr>
        <w:t>(ב</w:t>
      </w:r>
      <w:r w:rsidR="00E91762" w:rsidRPr="00BA19D6">
        <w:rPr>
          <w:rFonts w:ascii="FrankRuehl" w:eastAsia="Calibri" w:hAnsi="FrankRuehl" w:hint="cs"/>
          <w:kern w:val="28"/>
          <w:sz w:val="28"/>
          <w:szCs w:val="24"/>
          <w:rtl/>
        </w:rPr>
        <w:t>'</w:t>
      </w:r>
      <w:r w:rsidR="00E26951" w:rsidRPr="00BA19D6">
        <w:rPr>
          <w:rFonts w:ascii="FrankRuehl" w:eastAsia="Calibri" w:hAnsi="FrankRuehl"/>
          <w:kern w:val="28"/>
          <w:sz w:val="28"/>
          <w:szCs w:val="24"/>
          <w:rtl/>
        </w:rPr>
        <w:t>,</w:t>
      </w:r>
      <w:r w:rsidR="00E91762" w:rsidRPr="00BA19D6">
        <w:rPr>
          <w:rFonts w:ascii="FrankRuehl" w:eastAsia="Calibri" w:hAnsi="FrankRuehl" w:hint="cs"/>
          <w:kern w:val="28"/>
          <w:sz w:val="28"/>
          <w:szCs w:val="24"/>
          <w:rtl/>
        </w:rPr>
        <w:t xml:space="preserve"> </w:t>
      </w:r>
      <w:r w:rsidR="00E26951" w:rsidRPr="00BA19D6">
        <w:rPr>
          <w:rFonts w:ascii="FrankRuehl" w:eastAsia="Calibri" w:hAnsi="FrankRuehl"/>
          <w:kern w:val="28"/>
          <w:sz w:val="28"/>
          <w:szCs w:val="24"/>
          <w:rtl/>
        </w:rPr>
        <w:t>כ</w:t>
      </w:r>
      <w:r w:rsidR="00E91762" w:rsidRPr="00BA19D6">
        <w:rPr>
          <w:rFonts w:ascii="FrankRuehl" w:eastAsia="Calibri" w:hAnsi="FrankRuehl" w:hint="cs"/>
          <w:kern w:val="28"/>
          <w:sz w:val="28"/>
          <w:szCs w:val="24"/>
          <w:rtl/>
        </w:rPr>
        <w:t>'</w:t>
      </w:r>
      <w:r w:rsidR="00E26951" w:rsidRPr="00BA19D6">
        <w:rPr>
          <w:rFonts w:ascii="FrankRuehl" w:eastAsia="Calibri" w:hAnsi="FrankRuehl"/>
          <w:kern w:val="28"/>
          <w:sz w:val="28"/>
          <w:szCs w:val="24"/>
          <w:rtl/>
        </w:rPr>
        <w:t>)</w:t>
      </w:r>
      <w:r w:rsidRPr="00E9089A">
        <w:rPr>
          <w:rFonts w:ascii="FrankRuehl" w:eastAsia="Calibri" w:hAnsi="FrankRuehl"/>
          <w:kern w:val="28"/>
          <w:sz w:val="28"/>
          <w:rtl/>
        </w:rPr>
        <w:t xml:space="preserve"> "ואורחות צדיקים תשמור", וכל זה משום שטענו "עניי אנן, </w:t>
      </w:r>
      <w:proofErr w:type="spellStart"/>
      <w:r w:rsidRPr="00E9089A">
        <w:rPr>
          <w:rFonts w:ascii="FrankRuehl" w:eastAsia="Calibri" w:hAnsi="FrankRuehl"/>
          <w:kern w:val="28"/>
          <w:sz w:val="28"/>
          <w:rtl/>
        </w:rPr>
        <w:t>וטרחינן</w:t>
      </w:r>
      <w:proofErr w:type="spellEnd"/>
      <w:r w:rsidRPr="00E9089A">
        <w:rPr>
          <w:rFonts w:ascii="FrankRuehl" w:eastAsia="Calibri" w:hAnsi="FrankRuehl"/>
          <w:kern w:val="28"/>
          <w:sz w:val="28"/>
          <w:rtl/>
        </w:rPr>
        <w:t xml:space="preserve"> כולי יומא וכפינן ולית לן מידי". ואת עלית על </w:t>
      </w:r>
      <w:proofErr w:type="spellStart"/>
      <w:r w:rsidRPr="00E9089A">
        <w:rPr>
          <w:rFonts w:ascii="FrankRuehl" w:eastAsia="Calibri" w:hAnsi="FrankRuehl"/>
          <w:kern w:val="28"/>
          <w:sz w:val="28"/>
          <w:rtl/>
        </w:rPr>
        <w:t>כולנה</w:t>
      </w:r>
      <w:proofErr w:type="spellEnd"/>
      <w:r w:rsidRPr="00E9089A">
        <w:rPr>
          <w:rFonts w:ascii="FrankRuehl" w:eastAsia="Calibri" w:hAnsi="FrankRuehl"/>
          <w:kern w:val="28"/>
          <w:sz w:val="28"/>
          <w:rtl/>
        </w:rPr>
        <w:t xml:space="preserve">, מה שקבעו חכמים </w:t>
      </w:r>
      <w:r w:rsidR="00E26951" w:rsidRPr="00BA19D6">
        <w:rPr>
          <w:rFonts w:ascii="FrankRuehl" w:eastAsia="Calibri" w:hAnsi="FrankRuehl"/>
          <w:kern w:val="28"/>
          <w:sz w:val="28"/>
          <w:szCs w:val="24"/>
          <w:rtl/>
        </w:rPr>
        <w:t>(</w:t>
      </w:r>
      <w:r w:rsidRPr="00BA19D6">
        <w:rPr>
          <w:rFonts w:ascii="FrankRuehl" w:eastAsia="Calibri" w:hAnsi="FrankRuehl"/>
          <w:kern w:val="28"/>
          <w:sz w:val="28"/>
          <w:szCs w:val="24"/>
          <w:rtl/>
        </w:rPr>
        <w:t>בבא מציעא ל.</w:t>
      </w:r>
      <w:r w:rsidR="00E26951" w:rsidRPr="00BA19D6">
        <w:rPr>
          <w:rFonts w:ascii="FrankRuehl" w:eastAsia="Calibri" w:hAnsi="FrankRuehl"/>
          <w:kern w:val="28"/>
          <w:sz w:val="28"/>
          <w:szCs w:val="24"/>
          <w:rtl/>
        </w:rPr>
        <w:t>)</w:t>
      </w:r>
      <w:r w:rsidRPr="00E9089A">
        <w:rPr>
          <w:rFonts w:ascii="FrankRuehl" w:eastAsia="Calibri" w:hAnsi="FrankRuehl"/>
          <w:kern w:val="28"/>
          <w:sz w:val="28"/>
          <w:rtl/>
        </w:rPr>
        <w:t xml:space="preserve"> "לא חרבה ירושלים אלא על שהעמידו דיניהם על דין תורה ולא עשו לפנים משורת הדין". ואף התורה עצמה מ</w:t>
      </w:r>
      <w:r w:rsidR="00E26951" w:rsidRPr="00E9089A">
        <w:rPr>
          <w:rFonts w:ascii="FrankRuehl" w:eastAsia="Calibri" w:hAnsi="FrankRuehl"/>
          <w:kern w:val="28"/>
          <w:sz w:val="28"/>
          <w:rtl/>
        </w:rPr>
        <w:t>י</w:t>
      </w:r>
      <w:r w:rsidRPr="00E9089A">
        <w:rPr>
          <w:rFonts w:ascii="FrankRuehl" w:eastAsia="Calibri" w:hAnsi="FrankRuehl"/>
          <w:kern w:val="28"/>
          <w:sz w:val="28"/>
          <w:rtl/>
        </w:rPr>
        <w:t xml:space="preserve">זגה את מידת הרחמים במידת הדין, </w:t>
      </w:r>
      <w:r w:rsidR="00E26951" w:rsidRPr="00BA19D6">
        <w:rPr>
          <w:rFonts w:ascii="FrankRuehl" w:eastAsia="Calibri" w:hAnsi="FrankRuehl"/>
          <w:kern w:val="28"/>
          <w:sz w:val="28"/>
          <w:szCs w:val="24"/>
          <w:rtl/>
        </w:rPr>
        <w:t>(</w:t>
      </w:r>
      <w:r w:rsidRPr="00BA19D6">
        <w:rPr>
          <w:rFonts w:ascii="FrankRuehl" w:eastAsia="Calibri" w:hAnsi="FrankRuehl"/>
          <w:kern w:val="28"/>
          <w:sz w:val="28"/>
          <w:szCs w:val="24"/>
          <w:rtl/>
        </w:rPr>
        <w:t>דברים כ"ד</w:t>
      </w:r>
      <w:r w:rsidR="00E26951" w:rsidRPr="00BA19D6">
        <w:rPr>
          <w:rFonts w:ascii="FrankRuehl" w:eastAsia="Calibri" w:hAnsi="FrankRuehl"/>
          <w:kern w:val="28"/>
          <w:sz w:val="28"/>
          <w:szCs w:val="24"/>
          <w:rtl/>
        </w:rPr>
        <w:t>,</w:t>
      </w:r>
      <w:r w:rsidR="00E91762" w:rsidRPr="00BA19D6">
        <w:rPr>
          <w:rFonts w:ascii="FrankRuehl" w:eastAsia="Calibri" w:hAnsi="FrankRuehl" w:hint="cs"/>
          <w:kern w:val="28"/>
          <w:sz w:val="28"/>
          <w:szCs w:val="24"/>
          <w:rtl/>
        </w:rPr>
        <w:t xml:space="preserve"> </w:t>
      </w:r>
      <w:r w:rsidR="00E26951" w:rsidRPr="00BA19D6">
        <w:rPr>
          <w:rFonts w:ascii="FrankRuehl" w:eastAsia="Calibri" w:hAnsi="FrankRuehl"/>
          <w:kern w:val="28"/>
          <w:sz w:val="28"/>
          <w:szCs w:val="24"/>
          <w:rtl/>
        </w:rPr>
        <w:t>י"א)</w:t>
      </w:r>
      <w:r w:rsidRPr="00E9089A">
        <w:rPr>
          <w:rFonts w:ascii="FrankRuehl" w:eastAsia="Calibri" w:hAnsi="FrankRuehl"/>
          <w:kern w:val="28"/>
          <w:sz w:val="28"/>
          <w:rtl/>
        </w:rPr>
        <w:t xml:space="preserve"> בדין גביית העבוט, במה שציוותה "בחוץ תעמוד"</w:t>
      </w:r>
      <w:r w:rsidR="00E91762">
        <w:rPr>
          <w:rFonts w:ascii="FrankRuehl" w:eastAsia="Calibri" w:hAnsi="FrankRuehl" w:hint="cs"/>
          <w:kern w:val="28"/>
          <w:sz w:val="28"/>
          <w:rtl/>
        </w:rPr>
        <w:t>,</w:t>
      </w:r>
      <w:r w:rsidRPr="00E9089A">
        <w:rPr>
          <w:rFonts w:ascii="FrankRuehl" w:eastAsia="Calibri" w:hAnsi="FrankRuehl"/>
          <w:kern w:val="28"/>
          <w:sz w:val="28"/>
          <w:rtl/>
        </w:rPr>
        <w:t xml:space="preserve"> שמזה למדו </w:t>
      </w:r>
      <w:proofErr w:type="spellStart"/>
      <w:r w:rsidRPr="00E9089A">
        <w:rPr>
          <w:rFonts w:ascii="FrankRuehl" w:eastAsia="Calibri" w:hAnsi="FrankRuehl"/>
          <w:kern w:val="28"/>
          <w:sz w:val="28"/>
          <w:rtl/>
        </w:rPr>
        <w:t>בבבא</w:t>
      </w:r>
      <w:proofErr w:type="spellEnd"/>
      <w:r w:rsidRPr="00E9089A">
        <w:rPr>
          <w:rFonts w:ascii="FrankRuehl" w:eastAsia="Calibri" w:hAnsi="FrankRuehl"/>
          <w:kern w:val="28"/>
          <w:sz w:val="28"/>
          <w:rtl/>
        </w:rPr>
        <w:t xml:space="preserve"> </w:t>
      </w:r>
      <w:proofErr w:type="spellStart"/>
      <w:r w:rsidRPr="00E9089A">
        <w:rPr>
          <w:rFonts w:ascii="FrankRuehl" w:eastAsia="Calibri" w:hAnsi="FrankRuehl"/>
          <w:kern w:val="28"/>
          <w:sz w:val="28"/>
          <w:rtl/>
        </w:rPr>
        <w:t>בתרא</w:t>
      </w:r>
      <w:proofErr w:type="spellEnd"/>
      <w:r w:rsidRPr="00E9089A">
        <w:rPr>
          <w:rFonts w:ascii="FrankRuehl" w:eastAsia="Calibri" w:hAnsi="FrankRuehl"/>
          <w:kern w:val="28"/>
          <w:sz w:val="28"/>
          <w:rtl/>
        </w:rPr>
        <w:t xml:space="preserve"> </w:t>
      </w:r>
      <w:r w:rsidR="00E26951" w:rsidRPr="00BA19D6">
        <w:rPr>
          <w:rFonts w:ascii="FrankRuehl" w:eastAsia="Calibri" w:hAnsi="FrankRuehl"/>
          <w:kern w:val="28"/>
          <w:sz w:val="28"/>
          <w:szCs w:val="24"/>
          <w:rtl/>
        </w:rPr>
        <w:t>(</w:t>
      </w:r>
      <w:proofErr w:type="spellStart"/>
      <w:r w:rsidRPr="00BA19D6">
        <w:rPr>
          <w:rFonts w:ascii="FrankRuehl" w:eastAsia="Calibri" w:hAnsi="FrankRuehl"/>
          <w:kern w:val="28"/>
          <w:sz w:val="28"/>
          <w:szCs w:val="24"/>
          <w:rtl/>
        </w:rPr>
        <w:t>קיג</w:t>
      </w:r>
      <w:proofErr w:type="spellEnd"/>
      <w:r w:rsidRPr="00BA19D6">
        <w:rPr>
          <w:rFonts w:ascii="FrankRuehl" w:eastAsia="Calibri" w:hAnsi="FrankRuehl"/>
          <w:kern w:val="28"/>
          <w:sz w:val="28"/>
          <w:szCs w:val="24"/>
          <w:rtl/>
        </w:rPr>
        <w:t>.</w:t>
      </w:r>
      <w:r w:rsidR="00E26951" w:rsidRPr="00BA19D6">
        <w:rPr>
          <w:rFonts w:ascii="FrankRuehl" w:eastAsia="Calibri" w:hAnsi="FrankRuehl"/>
          <w:kern w:val="28"/>
          <w:sz w:val="28"/>
          <w:szCs w:val="24"/>
          <w:rtl/>
        </w:rPr>
        <w:t>)</w:t>
      </w:r>
      <w:r w:rsidRPr="00E9089A">
        <w:rPr>
          <w:rFonts w:ascii="FrankRuehl" w:eastAsia="Calibri" w:hAnsi="FrankRuehl"/>
          <w:kern w:val="28"/>
          <w:sz w:val="28"/>
          <w:rtl/>
        </w:rPr>
        <w:t xml:space="preserve"> שלא י</w:t>
      </w:r>
      <w:r w:rsidR="00E26951" w:rsidRPr="00E9089A">
        <w:rPr>
          <w:rFonts w:ascii="FrankRuehl" w:eastAsia="Calibri" w:hAnsi="FrankRuehl"/>
          <w:kern w:val="28"/>
          <w:sz w:val="28"/>
          <w:rtl/>
        </w:rPr>
        <w:t>י</w:t>
      </w:r>
      <w:r w:rsidRPr="00E9089A">
        <w:rPr>
          <w:rFonts w:ascii="FrankRuehl" w:eastAsia="Calibri" w:hAnsi="FrankRuehl"/>
          <w:kern w:val="28"/>
          <w:sz w:val="28"/>
          <w:rtl/>
        </w:rPr>
        <w:t xml:space="preserve">כנס מלווה לבית לווה ליטול משכונו, ולדעת שמואל שם גם שליח בית דין אסור לו להיכנס לתוך הבית לקחת משכונו. ובספר שמות </w:t>
      </w:r>
      <w:r w:rsidR="00E26951" w:rsidRPr="00BA19D6">
        <w:rPr>
          <w:rFonts w:ascii="FrankRuehl" w:eastAsia="Calibri" w:hAnsi="FrankRuehl"/>
          <w:kern w:val="28"/>
          <w:sz w:val="28"/>
          <w:szCs w:val="24"/>
          <w:rtl/>
        </w:rPr>
        <w:t>(</w:t>
      </w:r>
      <w:r w:rsidRPr="00BA19D6">
        <w:rPr>
          <w:rFonts w:ascii="FrankRuehl" w:eastAsia="Calibri" w:hAnsi="FrankRuehl"/>
          <w:kern w:val="28"/>
          <w:sz w:val="28"/>
          <w:szCs w:val="24"/>
          <w:rtl/>
        </w:rPr>
        <w:t>כ"ב</w:t>
      </w:r>
      <w:r w:rsidR="00E26951" w:rsidRPr="00BA19D6">
        <w:rPr>
          <w:rFonts w:ascii="FrankRuehl" w:eastAsia="Calibri" w:hAnsi="FrankRuehl"/>
          <w:kern w:val="28"/>
          <w:sz w:val="28"/>
          <w:szCs w:val="24"/>
          <w:rtl/>
        </w:rPr>
        <w:t>, כ"ו)</w:t>
      </w:r>
      <w:r w:rsidRPr="00E9089A">
        <w:rPr>
          <w:rFonts w:ascii="FrankRuehl" w:eastAsia="Calibri" w:hAnsi="FrankRuehl"/>
          <w:kern w:val="28"/>
          <w:sz w:val="28"/>
          <w:rtl/>
        </w:rPr>
        <w:t xml:space="preserve"> מבארת התורה עצמה "היא כסותו לבדה היא שמלתו לעורו במה ישכב". כלומר יסוד הדין הוא מידת הרחמים.</w:t>
      </w:r>
    </w:p>
    <w:p w14:paraId="3C89C933" w14:textId="07ABF4AF" w:rsidR="00C97EDD" w:rsidRPr="00E9089A" w:rsidRDefault="00C97EDD" w:rsidP="00E9089A">
      <w:pPr>
        <w:snapToGrid w:val="0"/>
        <w:spacing w:after="120" w:line="276" w:lineRule="auto"/>
        <w:ind w:firstLine="397"/>
        <w:rPr>
          <w:rFonts w:ascii="FrankRuehl" w:eastAsia="Calibri" w:hAnsi="FrankRuehl"/>
          <w:kern w:val="28"/>
          <w:sz w:val="28"/>
          <w:rtl/>
        </w:rPr>
      </w:pPr>
      <w:r w:rsidRPr="00E9089A">
        <w:rPr>
          <w:rFonts w:ascii="FrankRuehl" w:eastAsia="Calibri" w:hAnsi="FrankRuehl"/>
          <w:kern w:val="28"/>
          <w:sz w:val="28"/>
          <w:rtl/>
        </w:rPr>
        <w:t>בספר "טוב רואי"</w:t>
      </w:r>
      <w:r w:rsidR="00E26951" w:rsidRPr="00E9089A">
        <w:rPr>
          <w:rFonts w:ascii="FrankRuehl" w:eastAsia="Calibri" w:hAnsi="FrankRuehl"/>
          <w:kern w:val="28"/>
          <w:sz w:val="28"/>
          <w:rtl/>
        </w:rPr>
        <w:t xml:space="preserve"> למרן </w:t>
      </w:r>
      <w:proofErr w:type="spellStart"/>
      <w:r w:rsidR="00E26951" w:rsidRPr="00E9089A">
        <w:rPr>
          <w:rFonts w:ascii="FrankRuehl" w:eastAsia="Calibri" w:hAnsi="FrankRuehl"/>
          <w:kern w:val="28"/>
          <w:sz w:val="28"/>
          <w:rtl/>
        </w:rPr>
        <w:t>הראי"ה</w:t>
      </w:r>
      <w:proofErr w:type="spellEnd"/>
      <w:r w:rsidR="00E26951" w:rsidRPr="00E9089A">
        <w:rPr>
          <w:rFonts w:ascii="FrankRuehl" w:eastAsia="Calibri" w:hAnsi="FrankRuehl"/>
          <w:kern w:val="28"/>
          <w:sz w:val="28"/>
          <w:rtl/>
        </w:rPr>
        <w:t xml:space="preserve"> קוק זצ"ל על </w:t>
      </w:r>
      <w:r w:rsidRPr="00E9089A">
        <w:rPr>
          <w:rFonts w:ascii="FrankRuehl" w:eastAsia="Calibri" w:hAnsi="FrankRuehl"/>
          <w:kern w:val="28"/>
          <w:sz w:val="28"/>
          <w:rtl/>
        </w:rPr>
        <w:t>כתובות פרק ט</w:t>
      </w:r>
      <w:r w:rsidR="00E26951" w:rsidRPr="00E9089A">
        <w:rPr>
          <w:rFonts w:ascii="FrankRuehl" w:eastAsia="Calibri" w:hAnsi="FrankRuehl"/>
          <w:kern w:val="28"/>
          <w:sz w:val="28"/>
          <w:rtl/>
        </w:rPr>
        <w:t>'</w:t>
      </w:r>
      <w:r w:rsidRPr="00E9089A">
        <w:rPr>
          <w:rFonts w:ascii="FrankRuehl" w:eastAsia="Calibri" w:hAnsi="FrankRuehl"/>
          <w:kern w:val="28"/>
          <w:sz w:val="28"/>
          <w:rtl/>
        </w:rPr>
        <w:t xml:space="preserve"> </w:t>
      </w:r>
      <w:r w:rsidR="00E91762" w:rsidRPr="00BA19D6">
        <w:rPr>
          <w:rFonts w:ascii="FrankRuehl" w:eastAsia="Calibri" w:hAnsi="FrankRuehl" w:hint="cs"/>
          <w:kern w:val="28"/>
          <w:sz w:val="28"/>
          <w:szCs w:val="24"/>
          <w:rtl/>
        </w:rPr>
        <w:t>(</w:t>
      </w:r>
      <w:r w:rsidRPr="00BA19D6">
        <w:rPr>
          <w:rFonts w:ascii="FrankRuehl" w:eastAsia="Calibri" w:hAnsi="FrankRuehl"/>
          <w:kern w:val="28"/>
          <w:sz w:val="28"/>
          <w:szCs w:val="24"/>
          <w:rtl/>
        </w:rPr>
        <w:t>סעיף קל"ו</w:t>
      </w:r>
      <w:r w:rsidR="00E26951" w:rsidRPr="00BA19D6">
        <w:rPr>
          <w:rFonts w:ascii="FrankRuehl" w:eastAsia="Calibri" w:hAnsi="FrankRuehl"/>
          <w:kern w:val="28"/>
          <w:sz w:val="28"/>
          <w:szCs w:val="24"/>
          <w:rtl/>
        </w:rPr>
        <w:t>)</w:t>
      </w:r>
      <w:r w:rsidRPr="00E9089A">
        <w:rPr>
          <w:rFonts w:ascii="FrankRuehl" w:eastAsia="Calibri" w:hAnsi="FrankRuehl"/>
          <w:kern w:val="28"/>
          <w:sz w:val="28"/>
          <w:rtl/>
        </w:rPr>
        <w:t xml:space="preserve"> נדרש לשאלה זו ו</w:t>
      </w:r>
      <w:r w:rsidR="00E26951" w:rsidRPr="00E9089A">
        <w:rPr>
          <w:rFonts w:ascii="FrankRuehl" w:eastAsia="Calibri" w:hAnsi="FrankRuehl"/>
          <w:kern w:val="28"/>
          <w:sz w:val="28"/>
          <w:rtl/>
        </w:rPr>
        <w:t>הנה תירוצו:</w:t>
      </w:r>
      <w:r w:rsidRPr="00E9089A">
        <w:rPr>
          <w:rFonts w:ascii="FrankRuehl" w:eastAsia="Calibri" w:hAnsi="FrankRuehl"/>
          <w:kern w:val="28"/>
          <w:sz w:val="28"/>
          <w:rtl/>
        </w:rPr>
        <w:t xml:space="preserve"> </w:t>
      </w:r>
    </w:p>
    <w:p w14:paraId="0CF88372" w14:textId="01E842F3" w:rsidR="00C97EDD" w:rsidRPr="00E9089A" w:rsidRDefault="00C97EDD" w:rsidP="00E26951">
      <w:pPr>
        <w:pStyle w:val="aa"/>
        <w:rPr>
          <w:rFonts w:ascii="FrankRuehl" w:hAnsi="FrankRuehl"/>
          <w:sz w:val="28"/>
          <w:rtl/>
        </w:rPr>
      </w:pPr>
      <w:r w:rsidRPr="00E9089A">
        <w:rPr>
          <w:rFonts w:ascii="FrankRuehl" w:hAnsi="FrankRuehl"/>
          <w:sz w:val="28"/>
          <w:rtl/>
        </w:rPr>
        <w:t>"</w:t>
      </w:r>
      <w:r w:rsidR="00E26951" w:rsidRPr="00E9089A">
        <w:rPr>
          <w:rFonts w:ascii="FrankRuehl" w:hAnsi="FrankRuehl"/>
          <w:sz w:val="28"/>
          <w:rtl/>
        </w:rPr>
        <w:t xml:space="preserve"> '</w:t>
      </w:r>
      <w:r w:rsidRPr="00E9089A">
        <w:rPr>
          <w:rFonts w:ascii="FrankRuehl" w:hAnsi="FrankRuehl"/>
          <w:sz w:val="28"/>
          <w:rtl/>
        </w:rPr>
        <w:t>ודל לא תהדר בריבו</w:t>
      </w:r>
      <w:r w:rsidR="00E26951" w:rsidRPr="00E9089A">
        <w:rPr>
          <w:rFonts w:ascii="FrankRuehl" w:hAnsi="FrankRuehl"/>
          <w:sz w:val="28"/>
          <w:rtl/>
        </w:rPr>
        <w:t>'</w:t>
      </w:r>
      <w:r w:rsidRPr="00E9089A">
        <w:rPr>
          <w:rFonts w:ascii="FrankRuehl" w:hAnsi="FrankRuehl"/>
          <w:sz w:val="28"/>
          <w:rtl/>
        </w:rPr>
        <w:t xml:space="preserve">  - מוכרחים אנחנו לומר שבזמן שרואים החכמים בתור מחוקקים לקב</w:t>
      </w:r>
      <w:r w:rsidR="00E26951" w:rsidRPr="00E9089A">
        <w:rPr>
          <w:rFonts w:ascii="FrankRuehl" w:hAnsi="FrankRuehl"/>
          <w:sz w:val="28"/>
          <w:rtl/>
        </w:rPr>
        <w:t>ו</w:t>
      </w:r>
      <w:r w:rsidRPr="00E9089A">
        <w:rPr>
          <w:rFonts w:ascii="FrankRuehl" w:hAnsi="FrankRuehl"/>
          <w:sz w:val="28"/>
          <w:rtl/>
        </w:rPr>
        <w:t>ע חוק, שמצד המשקל של מדת הרחמים הוא ראוי להיקבע בצורה משפטית, יש כוח בידם לעשות כן. ואח"כ השופט הפרטי הבא לדון, מוכרח הוא לדון על פיו, ואסור לו לעבור ע"ז, אפילו אם מדת רחמיו הפרטית תניע אותו לכך. אלא שבוודאי צריכים תמיד לשקול את מדת הרחמים הזאת שתהי' כתורה שלא תקלקל את מדת הדין, ומדת הרחמים היא משמשת ביחוד אצל קובעי הח</w:t>
      </w:r>
      <w:r w:rsidR="00E26951" w:rsidRPr="00E9089A">
        <w:rPr>
          <w:rFonts w:ascii="FrankRuehl" w:hAnsi="FrankRuehl"/>
          <w:sz w:val="28"/>
          <w:rtl/>
        </w:rPr>
        <w:t>ו</w:t>
      </w:r>
      <w:r w:rsidRPr="00E9089A">
        <w:rPr>
          <w:rFonts w:ascii="FrankRuehl" w:hAnsi="FrankRuehl"/>
          <w:sz w:val="28"/>
          <w:rtl/>
        </w:rPr>
        <w:t>קים, ומתקני תקנות לדורות, באופן שיש למידת הדין לא מהלך אחד כ"א מהלכים רבים, אז אנחנו נוטים כלפי הרגש של מדת הרחמים, שהרי גם מידת הדין אינה לוקה.</w:t>
      </w:r>
    </w:p>
    <w:p w14:paraId="34D75EB1" w14:textId="6F205583" w:rsidR="00C97EDD" w:rsidRPr="00E9089A" w:rsidRDefault="00C97EDD" w:rsidP="00E26951">
      <w:pPr>
        <w:pStyle w:val="aa"/>
        <w:rPr>
          <w:rFonts w:ascii="FrankRuehl" w:hAnsi="FrankRuehl"/>
          <w:sz w:val="28"/>
          <w:rtl/>
        </w:rPr>
      </w:pPr>
      <w:r w:rsidRPr="00E9089A">
        <w:rPr>
          <w:rFonts w:ascii="FrankRuehl" w:hAnsi="FrankRuehl"/>
          <w:sz w:val="28"/>
          <w:rtl/>
        </w:rPr>
        <w:t>ועוד</w:t>
      </w:r>
      <w:r w:rsidR="00E26951" w:rsidRPr="00E9089A">
        <w:rPr>
          <w:rFonts w:ascii="FrankRuehl" w:hAnsi="FrankRuehl"/>
          <w:sz w:val="28"/>
          <w:rtl/>
        </w:rPr>
        <w:t>,</w:t>
      </w:r>
      <w:r w:rsidRPr="00E9089A">
        <w:rPr>
          <w:rFonts w:ascii="FrankRuehl" w:hAnsi="FrankRuehl"/>
          <w:sz w:val="28"/>
          <w:rtl/>
        </w:rPr>
        <w:t xml:space="preserve"> </w:t>
      </w:r>
      <w:r w:rsidR="00E26951" w:rsidRPr="00E9089A">
        <w:rPr>
          <w:rFonts w:ascii="FrankRuehl" w:hAnsi="FrankRuehl"/>
          <w:sz w:val="28"/>
          <w:rtl/>
        </w:rPr>
        <w:t>'</w:t>
      </w:r>
      <w:r w:rsidRPr="00E9089A">
        <w:rPr>
          <w:rFonts w:ascii="FrankRuehl" w:hAnsi="FrankRuehl"/>
          <w:sz w:val="28"/>
          <w:rtl/>
        </w:rPr>
        <w:t>ודל לא תהדר בריבו</w:t>
      </w:r>
      <w:r w:rsidR="00E26951" w:rsidRPr="00E9089A">
        <w:rPr>
          <w:rFonts w:ascii="FrankRuehl" w:hAnsi="FrankRuehl"/>
          <w:sz w:val="28"/>
          <w:rtl/>
        </w:rPr>
        <w:t>'</w:t>
      </w:r>
      <w:r w:rsidRPr="00E9089A">
        <w:rPr>
          <w:rFonts w:ascii="FrankRuehl" w:hAnsi="FrankRuehl"/>
          <w:sz w:val="28"/>
          <w:rtl/>
        </w:rPr>
        <w:t xml:space="preserve"> הוא נאמר דווקא בזמן שהדיין אינו מתחשב כלל עם שורת הדין, אלא שהוא פוסק את המשפט רק מפני מדת הרחמים על הדל, אבל בזמן שיש משקל לזה ג"כ מצד צורת המשפט ויסודי הדין, יש רשות לדיין לפעמים לצרף לזה ג"כ מדת הרחמים, והחמלה על האומללים והעובדים הנדכאים. והמידה יותר גדולה ממה שיש רשות </w:t>
      </w:r>
      <w:proofErr w:type="spellStart"/>
      <w:r w:rsidRPr="00E9089A">
        <w:rPr>
          <w:rFonts w:ascii="FrankRuehl" w:hAnsi="FrankRuehl"/>
          <w:sz w:val="28"/>
          <w:rtl/>
        </w:rPr>
        <w:t>להדיין</w:t>
      </w:r>
      <w:proofErr w:type="spellEnd"/>
      <w:r w:rsidRPr="00E9089A">
        <w:rPr>
          <w:rFonts w:ascii="FrankRuehl" w:hAnsi="FrankRuehl"/>
          <w:sz w:val="28"/>
          <w:rtl/>
        </w:rPr>
        <w:t xml:space="preserve"> הפרטי, יש רשות כזאת למתקני התקנות, וקובעי חוקים לדורות, ולפעמים תוכל ליפול מחלוקת בשיקול הדעת בין קובעי תקנות, אם לא יש כאן העברה על מדת הדין מצד מדת הרחמים יותר </w:t>
      </w:r>
      <w:proofErr w:type="spellStart"/>
      <w:r w:rsidRPr="00E9089A">
        <w:rPr>
          <w:rFonts w:ascii="FrankRuehl" w:hAnsi="FrankRuehl"/>
          <w:sz w:val="28"/>
          <w:rtl/>
        </w:rPr>
        <w:t>מדאי</w:t>
      </w:r>
      <w:proofErr w:type="spellEnd"/>
      <w:r w:rsidRPr="00E9089A">
        <w:rPr>
          <w:rFonts w:ascii="FrankRuehl" w:hAnsi="FrankRuehl"/>
          <w:sz w:val="28"/>
          <w:rtl/>
        </w:rPr>
        <w:t xml:space="preserve">, וזהו היסוד שנחלקו בו ר"ט </w:t>
      </w:r>
      <w:proofErr w:type="spellStart"/>
      <w:r w:rsidRPr="00E9089A">
        <w:rPr>
          <w:rFonts w:ascii="FrankRuehl" w:hAnsi="FrankRuehl"/>
          <w:sz w:val="28"/>
          <w:rtl/>
        </w:rPr>
        <w:t>ור"ע</w:t>
      </w:r>
      <w:proofErr w:type="spellEnd"/>
      <w:r w:rsidRPr="00E9089A">
        <w:rPr>
          <w:rFonts w:ascii="FrankRuehl" w:hAnsi="FrankRuehl"/>
          <w:sz w:val="28"/>
          <w:rtl/>
        </w:rPr>
        <w:t xml:space="preserve"> במשנה </w:t>
      </w:r>
      <w:proofErr w:type="spellStart"/>
      <w:r w:rsidRPr="00E9089A">
        <w:rPr>
          <w:rFonts w:ascii="FrankRuehl" w:hAnsi="FrankRuehl"/>
          <w:sz w:val="28"/>
          <w:rtl/>
        </w:rPr>
        <w:lastRenderedPageBreak/>
        <w:t>דכתובות</w:t>
      </w:r>
      <w:proofErr w:type="spellEnd"/>
      <w:r w:rsidRPr="00E9089A">
        <w:rPr>
          <w:rFonts w:ascii="FrankRuehl" w:hAnsi="FrankRuehl"/>
          <w:sz w:val="28"/>
          <w:rtl/>
        </w:rPr>
        <w:t xml:space="preserve">, </w:t>
      </w:r>
      <w:proofErr w:type="spellStart"/>
      <w:r w:rsidRPr="00E9089A">
        <w:rPr>
          <w:rFonts w:ascii="FrankRuehl" w:hAnsi="FrankRuehl"/>
          <w:sz w:val="28"/>
          <w:rtl/>
        </w:rPr>
        <w:t>שר"ט</w:t>
      </w:r>
      <w:proofErr w:type="spellEnd"/>
      <w:r w:rsidRPr="00E9089A">
        <w:rPr>
          <w:rFonts w:ascii="FrankRuehl" w:hAnsi="FrankRuehl"/>
          <w:sz w:val="28"/>
          <w:rtl/>
        </w:rPr>
        <w:t xml:space="preserve"> סובר שמדת הדין היא שקולה, וראוי לתקן לצרף מדת רחמים לתן לכושל שבהן, </w:t>
      </w:r>
      <w:proofErr w:type="spellStart"/>
      <w:r w:rsidRPr="00E9089A">
        <w:rPr>
          <w:rFonts w:ascii="FrankRuehl" w:hAnsi="FrankRuehl"/>
          <w:sz w:val="28"/>
          <w:rtl/>
        </w:rPr>
        <w:t>ור"ע</w:t>
      </w:r>
      <w:proofErr w:type="spellEnd"/>
      <w:r w:rsidRPr="00E9089A">
        <w:rPr>
          <w:rFonts w:ascii="FrankRuehl" w:hAnsi="FrankRuehl"/>
          <w:sz w:val="28"/>
          <w:rtl/>
        </w:rPr>
        <w:t xml:space="preserve"> שקל בדעתו שמאחר שצד אחד צריך שבועה, והיתומים אינם צריכים שבועה, עומד הממון קרוב להם יותר, ואם נעבור על זה מצד מדת הרחמים כבר נקרא לדעתו העברה על מידת הדין." עכ"ל.</w:t>
      </w:r>
    </w:p>
    <w:p w14:paraId="6F6F8CA3" w14:textId="350F6FD9" w:rsidR="00C97EDD" w:rsidRPr="00E91762" w:rsidRDefault="00C97EDD" w:rsidP="00E91762">
      <w:pPr>
        <w:snapToGrid w:val="0"/>
        <w:spacing w:after="120" w:line="276" w:lineRule="auto"/>
        <w:ind w:firstLine="397"/>
        <w:rPr>
          <w:rFonts w:ascii="FrankRuehl" w:eastAsia="Calibri" w:hAnsi="FrankRuehl"/>
          <w:kern w:val="28"/>
          <w:sz w:val="28"/>
          <w:rtl/>
        </w:rPr>
      </w:pPr>
      <w:r w:rsidRPr="00E91762">
        <w:rPr>
          <w:rFonts w:ascii="FrankRuehl" w:eastAsia="Calibri" w:hAnsi="FrankRuehl"/>
          <w:kern w:val="28"/>
          <w:sz w:val="28"/>
          <w:rtl/>
        </w:rPr>
        <w:t xml:space="preserve">לפי זה, אם יתכנסו חברי ביה"ד הגדול עם מועצת הרבנות הראשית, ויתקנו בדינים מסוימים ובמקרים ספציפיים, כי יש צורך לפסוק גם על פי מידת הרחמים, ובמקום שאינו סותר כליל את מידת הדין, תחול על ביה"ד חובה לפסוק כך. ויש לומר שבדורותינו, בהם לאסוננו אין "מופלא שבבית דין" ואף לא רב מובהק המקובל על </w:t>
      </w:r>
      <w:proofErr w:type="spellStart"/>
      <w:r w:rsidRPr="00E91762">
        <w:rPr>
          <w:rFonts w:ascii="FrankRuehl" w:eastAsia="Calibri" w:hAnsi="FrankRuehl"/>
          <w:kern w:val="28"/>
          <w:sz w:val="28"/>
          <w:rtl/>
        </w:rPr>
        <w:t>הכל</w:t>
      </w:r>
      <w:proofErr w:type="spellEnd"/>
      <w:r w:rsidRPr="00E91762">
        <w:rPr>
          <w:rFonts w:ascii="FrankRuehl" w:eastAsia="Calibri" w:hAnsi="FrankRuehl"/>
          <w:kern w:val="28"/>
          <w:sz w:val="28"/>
          <w:rtl/>
        </w:rPr>
        <w:t xml:space="preserve">, לצורך תקנה זו יש לצרף את כלל הדיינים היושבים על מדין. </w:t>
      </w:r>
    </w:p>
    <w:p w14:paraId="257337D0" w14:textId="1B6439F0" w:rsidR="00C97EDD" w:rsidRPr="00E91762" w:rsidRDefault="00E91762" w:rsidP="00E91762">
      <w:pPr>
        <w:snapToGrid w:val="0"/>
        <w:spacing w:after="120" w:line="276" w:lineRule="auto"/>
        <w:ind w:firstLine="397"/>
        <w:rPr>
          <w:rFonts w:ascii="FrankRuehl" w:eastAsia="Calibri" w:hAnsi="FrankRuehl"/>
          <w:kern w:val="28"/>
          <w:sz w:val="28"/>
        </w:rPr>
      </w:pPr>
      <w:r>
        <w:rPr>
          <w:rFonts w:ascii="FrankRuehl" w:eastAsia="Calibri" w:hAnsi="FrankRuehl" w:hint="cs"/>
          <w:kern w:val="28"/>
          <w:sz w:val="28"/>
          <w:rtl/>
        </w:rPr>
        <w:t>ג. ע</w:t>
      </w:r>
      <w:r w:rsidR="00C97EDD" w:rsidRPr="00E91762">
        <w:rPr>
          <w:rFonts w:ascii="FrankRuehl" w:eastAsia="Calibri" w:hAnsi="FrankRuehl"/>
          <w:kern w:val="28"/>
          <w:sz w:val="28"/>
          <w:rtl/>
        </w:rPr>
        <w:t>יון במובאות שצורפו לבקשה כהוכחה לטענה, מעלה כי אין לקבלה, כפי שיבואר לקמן:</w:t>
      </w:r>
    </w:p>
    <w:p w14:paraId="78533F80" w14:textId="4E5FB6E2" w:rsidR="00397923" w:rsidRPr="00E9089A" w:rsidRDefault="00FD1F88" w:rsidP="00E91762">
      <w:pPr>
        <w:snapToGrid w:val="0"/>
        <w:spacing w:after="120" w:line="276" w:lineRule="auto"/>
        <w:ind w:firstLine="397"/>
        <w:rPr>
          <w:rFonts w:ascii="FrankRuehl" w:hAnsi="FrankRuehl"/>
          <w:noProof/>
          <w:kern w:val="28"/>
          <w:sz w:val="28"/>
          <w:rtl/>
          <w:lang w:val="he-IL"/>
        </w:rPr>
      </w:pPr>
      <w:r w:rsidRPr="00E9089A">
        <w:rPr>
          <w:rFonts w:ascii="FrankRuehl" w:hAnsi="FrankRuehl"/>
          <w:kern w:val="28"/>
          <w:sz w:val="28"/>
          <w:rtl/>
        </w:rPr>
        <w:t>1.</w:t>
      </w:r>
      <w:r w:rsidR="00C97EDD" w:rsidRPr="00E91762">
        <w:rPr>
          <w:rFonts w:ascii="FrankRuehl" w:eastAsia="Calibri" w:hAnsi="FrankRuehl"/>
          <w:kern w:val="28"/>
          <w:sz w:val="28"/>
          <w:rtl/>
        </w:rPr>
        <w:t>ציטוט</w:t>
      </w:r>
      <w:r w:rsidR="00C97EDD" w:rsidRPr="00E9089A">
        <w:rPr>
          <w:rFonts w:ascii="FrankRuehl" w:hAnsi="FrankRuehl"/>
          <w:kern w:val="28"/>
          <w:sz w:val="28"/>
          <w:rtl/>
        </w:rPr>
        <w:t xml:space="preserve"> </w:t>
      </w:r>
      <w:proofErr w:type="spellStart"/>
      <w:r w:rsidR="00C97EDD" w:rsidRPr="00E9089A">
        <w:rPr>
          <w:rFonts w:ascii="FrankRuehl" w:hAnsi="FrankRuehl"/>
          <w:kern w:val="28"/>
          <w:sz w:val="28"/>
          <w:rtl/>
        </w:rPr>
        <w:t>מפד"ר</w:t>
      </w:r>
      <w:proofErr w:type="spellEnd"/>
      <w:r w:rsidR="00C97EDD" w:rsidRPr="00E9089A">
        <w:rPr>
          <w:rFonts w:ascii="FrankRuehl" w:hAnsi="FrankRuehl"/>
          <w:kern w:val="28"/>
          <w:sz w:val="28"/>
          <w:rtl/>
        </w:rPr>
        <w:t xml:space="preserve"> חלק </w:t>
      </w:r>
      <w:r w:rsidRPr="00E9089A">
        <w:rPr>
          <w:rFonts w:ascii="FrankRuehl" w:hAnsi="FrankRuehl"/>
          <w:kern w:val="28"/>
          <w:sz w:val="28"/>
          <w:rtl/>
        </w:rPr>
        <w:t>י"</w:t>
      </w:r>
      <w:r w:rsidR="00C97EDD" w:rsidRPr="00E9089A">
        <w:rPr>
          <w:rFonts w:ascii="FrankRuehl" w:hAnsi="FrankRuehl"/>
          <w:kern w:val="28"/>
          <w:sz w:val="28"/>
          <w:rtl/>
        </w:rPr>
        <w:t>א עמוד 93</w:t>
      </w:r>
      <w:r w:rsidR="00E91762">
        <w:rPr>
          <w:rFonts w:ascii="FrankRuehl" w:hAnsi="FrankRuehl" w:hint="cs"/>
          <w:kern w:val="28"/>
          <w:sz w:val="28"/>
          <w:rtl/>
        </w:rPr>
        <w:t>:</w:t>
      </w:r>
      <w:r w:rsidR="00C97EDD" w:rsidRPr="00E9089A">
        <w:rPr>
          <w:rFonts w:ascii="FrankRuehl" w:hAnsi="FrankRuehl"/>
          <w:kern w:val="28"/>
          <w:sz w:val="28"/>
          <w:rtl/>
        </w:rPr>
        <w:t xml:space="preserve"> </w:t>
      </w:r>
    </w:p>
    <w:p w14:paraId="67F685BB" w14:textId="445D6BD0" w:rsidR="00397923" w:rsidRPr="00E9089A" w:rsidRDefault="00FD1F88" w:rsidP="00FD1F88">
      <w:pPr>
        <w:pStyle w:val="aa"/>
        <w:rPr>
          <w:rFonts w:ascii="FrankRuehl" w:hAnsi="FrankRuehl"/>
          <w:noProof/>
          <w:sz w:val="28"/>
          <w:rtl/>
          <w:lang w:val="he-IL"/>
        </w:rPr>
      </w:pPr>
      <w:r w:rsidRPr="00E9089A">
        <w:rPr>
          <w:rFonts w:ascii="FrankRuehl" w:hAnsi="FrankRuehl"/>
          <w:noProof/>
          <w:sz w:val="28"/>
          <w:rtl/>
          <w:lang w:val="he-IL"/>
        </w:rPr>
        <w:t>"</w:t>
      </w:r>
      <w:r w:rsidR="00397923" w:rsidRPr="00E9089A">
        <w:rPr>
          <w:rFonts w:ascii="FrankRuehl" w:hAnsi="FrankRuehl"/>
          <w:noProof/>
          <w:sz w:val="28"/>
          <w:rtl/>
          <w:lang w:val="he-IL"/>
        </w:rPr>
        <w:t xml:space="preserve">בכל הסכם גירושין, כל שבא אחד הצדדים ואמר שנמלך בדעתו שמוטב לעשות שלום בית, וכל מה שהסכים תחילה לגירושין היה מתוך שיקול מוטעה, שפיר יוכל לומר שגם הקנין על הממון בטל, דקנין בטעות הוא. וכל זה דלא כמו שהעלו בפס"ד מבי"ד דבאר שבע הנ"ל. </w:t>
      </w:r>
    </w:p>
    <w:p w14:paraId="2E2FA542" w14:textId="4EFDD81D" w:rsidR="00397923" w:rsidRPr="00E9089A" w:rsidRDefault="00FD1F88" w:rsidP="00FD1F88">
      <w:pPr>
        <w:pStyle w:val="aa"/>
        <w:rPr>
          <w:rFonts w:ascii="FrankRuehl" w:hAnsi="FrankRuehl"/>
          <w:noProof/>
          <w:sz w:val="28"/>
          <w:rtl/>
          <w:lang w:val="he-IL"/>
        </w:rPr>
      </w:pPr>
      <w:r w:rsidRPr="00BA19D6">
        <w:rPr>
          <w:rFonts w:ascii="FrankRuehl" w:hAnsi="FrankRuehl"/>
          <w:noProof/>
          <w:sz w:val="28"/>
          <w:szCs w:val="24"/>
          <w:rtl/>
          <w:lang w:val="he-IL"/>
        </w:rPr>
        <w:t xml:space="preserve">(משא"כ אם </w:t>
      </w:r>
      <w:r w:rsidR="00397923" w:rsidRPr="00BA19D6">
        <w:rPr>
          <w:rFonts w:ascii="FrankRuehl" w:hAnsi="FrankRuehl"/>
          <w:noProof/>
          <w:sz w:val="28"/>
          <w:szCs w:val="24"/>
          <w:rtl/>
          <w:lang w:val="he-IL"/>
        </w:rPr>
        <w:t>הבעל גם עכשיו אינו מבקש שלום בית, ומסכים לגירושין, אלא שמבקש לשנות את תנאי הגירושין ולהוציא ממנה את הקיוסק וכנ"ל, וא"כ לא יוכל לטעון שהקנין היה בטעות, שהרי לעצם הגירושין דעתו עתה כדעתו אז, ושפיר עומד הסכם הגירושין בתקפו עכ"פ לענין הממון.</w:t>
      </w:r>
      <w:r w:rsidRPr="00BA19D6">
        <w:rPr>
          <w:rFonts w:ascii="FrankRuehl" w:hAnsi="FrankRuehl"/>
          <w:noProof/>
          <w:sz w:val="28"/>
          <w:szCs w:val="24"/>
          <w:rtl/>
          <w:lang w:val="he-IL"/>
        </w:rPr>
        <w:t>)</w:t>
      </w:r>
      <w:r w:rsidRPr="00E9089A">
        <w:rPr>
          <w:rFonts w:ascii="FrankRuehl" w:hAnsi="FrankRuehl"/>
          <w:noProof/>
          <w:sz w:val="28"/>
          <w:rtl/>
          <w:lang w:val="he-IL"/>
        </w:rPr>
        <w:t>"</w:t>
      </w:r>
    </w:p>
    <w:p w14:paraId="6B379869" w14:textId="77777777" w:rsidR="00C97EDD" w:rsidRPr="00E9089A" w:rsidRDefault="00C97EDD" w:rsidP="00E91762">
      <w:pPr>
        <w:snapToGrid w:val="0"/>
        <w:spacing w:after="120" w:line="276" w:lineRule="auto"/>
        <w:ind w:firstLine="397"/>
        <w:rPr>
          <w:rFonts w:ascii="FrankRuehl" w:hAnsi="FrankRuehl"/>
          <w:kern w:val="28"/>
          <w:sz w:val="28"/>
          <w:rtl/>
        </w:rPr>
      </w:pPr>
      <w:r w:rsidRPr="00E9089A">
        <w:rPr>
          <w:rFonts w:ascii="FrankRuehl" w:hAnsi="FrankRuehl"/>
          <w:kern w:val="28"/>
          <w:sz w:val="28"/>
          <w:rtl/>
        </w:rPr>
        <w:t>הרי שכתבו "</w:t>
      </w:r>
      <w:r w:rsidRPr="00E91762">
        <w:rPr>
          <w:rFonts w:ascii="FrankRuehl" w:eastAsia="Calibri" w:hAnsi="FrankRuehl"/>
          <w:kern w:val="28"/>
          <w:sz w:val="28"/>
          <w:rtl/>
        </w:rPr>
        <w:t>לעצם</w:t>
      </w:r>
      <w:r w:rsidRPr="00E9089A">
        <w:rPr>
          <w:rFonts w:ascii="FrankRuehl" w:hAnsi="FrankRuehl"/>
          <w:kern w:val="28"/>
          <w:sz w:val="28"/>
          <w:rtl/>
        </w:rPr>
        <w:t xml:space="preserve"> הגירושין". כלומר ככל שיהיו גירושין, תנאי הממון שהתקבלו בקניין לא ישונו. אולם בנידון דידן אין גירושין מחמת פטירת האישה. ממילא אין תנאי גירושין כפי שפירטנו בפסק הדין המקורי נשוא הערעור. </w:t>
      </w:r>
    </w:p>
    <w:p w14:paraId="4EDEF5EB" w14:textId="32A59CD1" w:rsidR="00C97EDD" w:rsidRPr="00E9089A" w:rsidRDefault="00FD1F88" w:rsidP="00E91762">
      <w:pPr>
        <w:snapToGrid w:val="0"/>
        <w:spacing w:after="120" w:line="276" w:lineRule="auto"/>
        <w:ind w:firstLine="397"/>
        <w:rPr>
          <w:rFonts w:ascii="FrankRuehl" w:hAnsi="FrankRuehl"/>
          <w:kern w:val="28"/>
          <w:sz w:val="28"/>
          <w:rtl/>
        </w:rPr>
      </w:pPr>
      <w:r w:rsidRPr="00E9089A">
        <w:rPr>
          <w:rFonts w:ascii="FrankRuehl" w:hAnsi="FrankRuehl"/>
          <w:kern w:val="28"/>
          <w:sz w:val="28"/>
          <w:rtl/>
        </w:rPr>
        <w:t>2.</w:t>
      </w:r>
      <w:r w:rsidR="00C97EDD" w:rsidRPr="00E9089A">
        <w:rPr>
          <w:rFonts w:ascii="FrankRuehl" w:hAnsi="FrankRuehl"/>
          <w:kern w:val="28"/>
          <w:sz w:val="28"/>
          <w:rtl/>
        </w:rPr>
        <w:t>ציטוט משורת הדין כרך י' עמוד תקמ"ד</w:t>
      </w:r>
      <w:r w:rsidR="00E91762">
        <w:rPr>
          <w:rFonts w:ascii="FrankRuehl" w:hAnsi="FrankRuehl" w:hint="cs"/>
          <w:kern w:val="28"/>
          <w:sz w:val="28"/>
          <w:rtl/>
        </w:rPr>
        <w:t>:</w:t>
      </w:r>
    </w:p>
    <w:p w14:paraId="5A8D2949" w14:textId="06A4072F" w:rsidR="00C97EDD" w:rsidRPr="00E9089A" w:rsidRDefault="00FD1F88" w:rsidP="00FD1F88">
      <w:pPr>
        <w:pStyle w:val="aa"/>
        <w:rPr>
          <w:rFonts w:ascii="FrankRuehl" w:hAnsi="FrankRuehl"/>
          <w:noProof/>
          <w:sz w:val="28"/>
          <w:lang w:val="he-IL"/>
        </w:rPr>
      </w:pPr>
      <w:r w:rsidRPr="00E9089A">
        <w:rPr>
          <w:rFonts w:ascii="FrankRuehl" w:hAnsi="FrankRuehl"/>
          <w:noProof/>
          <w:sz w:val="28"/>
          <w:rtl/>
          <w:lang w:val="he-IL"/>
        </w:rPr>
        <w:t>"</w:t>
      </w:r>
      <w:r w:rsidR="00C97EDD" w:rsidRPr="00E9089A">
        <w:rPr>
          <w:rFonts w:ascii="FrankRuehl" w:hAnsi="FrankRuehl"/>
          <w:noProof/>
          <w:sz w:val="28"/>
          <w:rtl/>
          <w:lang w:val="he-IL"/>
        </w:rPr>
        <w:t>אבל כאשר הצד החוזר בו אינו רוצה שלום בי</w:t>
      </w:r>
      <w:r w:rsidR="00E91762">
        <w:rPr>
          <w:rFonts w:ascii="FrankRuehl" w:hAnsi="FrankRuehl" w:hint="cs"/>
          <w:noProof/>
          <w:sz w:val="28"/>
          <w:rtl/>
          <w:lang w:val="he-IL"/>
        </w:rPr>
        <w:t xml:space="preserve">ת, </w:t>
      </w:r>
      <w:r w:rsidR="00C97EDD" w:rsidRPr="00E9089A">
        <w:rPr>
          <w:rFonts w:ascii="FrankRuehl" w:hAnsi="FrankRuehl"/>
          <w:noProof/>
          <w:sz w:val="28"/>
          <w:rtl/>
          <w:lang w:val="he-IL"/>
        </w:rPr>
        <w:t>אלא עדיין רוצה גירושין, ורצונו לחזור בו כדי לשפר את תנאי הגירושין, בזה לא נאמר שההסכם בטל</w:t>
      </w:r>
      <w:r w:rsidR="00E91762">
        <w:rPr>
          <w:rFonts w:ascii="FrankRuehl" w:hAnsi="FrankRuehl" w:hint="cs"/>
          <w:noProof/>
          <w:sz w:val="28"/>
          <w:rtl/>
          <w:lang w:val="he-IL"/>
        </w:rPr>
        <w:t>.</w:t>
      </w:r>
      <w:r w:rsidRPr="00E9089A">
        <w:rPr>
          <w:rFonts w:ascii="FrankRuehl" w:hAnsi="FrankRuehl"/>
          <w:noProof/>
          <w:sz w:val="28"/>
          <w:rtl/>
          <w:lang w:val="he-IL"/>
        </w:rPr>
        <w:t>"</w:t>
      </w:r>
    </w:p>
    <w:p w14:paraId="7475CB74" w14:textId="77777777" w:rsidR="00C97EDD" w:rsidRPr="00E9089A" w:rsidRDefault="00C97EDD" w:rsidP="00E91762">
      <w:pPr>
        <w:snapToGrid w:val="0"/>
        <w:spacing w:after="120" w:line="276" w:lineRule="auto"/>
        <w:ind w:firstLine="397"/>
        <w:rPr>
          <w:rFonts w:ascii="FrankRuehl" w:hAnsi="FrankRuehl"/>
          <w:kern w:val="28"/>
          <w:sz w:val="28"/>
          <w:rtl/>
        </w:rPr>
      </w:pPr>
      <w:r w:rsidRPr="00E9089A">
        <w:rPr>
          <w:rFonts w:ascii="FrankRuehl" w:hAnsi="FrankRuehl"/>
          <w:kern w:val="28"/>
          <w:sz w:val="28"/>
          <w:rtl/>
        </w:rPr>
        <w:t xml:space="preserve">גם כאן </w:t>
      </w:r>
      <w:proofErr w:type="spellStart"/>
      <w:r w:rsidRPr="00E9089A">
        <w:rPr>
          <w:rFonts w:ascii="FrankRuehl" w:hAnsi="FrankRuehl"/>
          <w:kern w:val="28"/>
          <w:sz w:val="28"/>
          <w:rtl/>
        </w:rPr>
        <w:t>מיירי</w:t>
      </w:r>
      <w:proofErr w:type="spellEnd"/>
      <w:r w:rsidRPr="00E9089A">
        <w:rPr>
          <w:rFonts w:ascii="FrankRuehl" w:hAnsi="FrankRuehl"/>
          <w:kern w:val="28"/>
          <w:sz w:val="28"/>
          <w:rtl/>
        </w:rPr>
        <w:t xml:space="preserve"> בחזרה לשיפור תנאי הגירושין, </w:t>
      </w:r>
      <w:proofErr w:type="spellStart"/>
      <w:r w:rsidRPr="00E9089A">
        <w:rPr>
          <w:rFonts w:ascii="FrankRuehl" w:hAnsi="FrankRuehl"/>
          <w:kern w:val="28"/>
          <w:sz w:val="28"/>
          <w:rtl/>
        </w:rPr>
        <w:t>משא"כ</w:t>
      </w:r>
      <w:proofErr w:type="spellEnd"/>
      <w:r w:rsidRPr="00E9089A">
        <w:rPr>
          <w:rFonts w:ascii="FrankRuehl" w:hAnsi="FrankRuehl"/>
          <w:kern w:val="28"/>
          <w:sz w:val="28"/>
          <w:rtl/>
        </w:rPr>
        <w:t xml:space="preserve"> בענייננו, שלא היו כלל גירושין. </w:t>
      </w:r>
    </w:p>
    <w:p w14:paraId="660B1D98" w14:textId="13895070" w:rsidR="00C97EDD" w:rsidRPr="00E9089A" w:rsidRDefault="00FD1F88" w:rsidP="00E91762">
      <w:pPr>
        <w:snapToGrid w:val="0"/>
        <w:spacing w:after="120" w:line="276" w:lineRule="auto"/>
        <w:ind w:firstLine="397"/>
        <w:rPr>
          <w:rFonts w:ascii="FrankRuehl" w:hAnsi="FrankRuehl"/>
          <w:kern w:val="28"/>
          <w:sz w:val="28"/>
        </w:rPr>
      </w:pPr>
      <w:r w:rsidRPr="00E9089A">
        <w:rPr>
          <w:rFonts w:ascii="FrankRuehl" w:hAnsi="FrankRuehl"/>
          <w:kern w:val="28"/>
          <w:sz w:val="28"/>
          <w:rtl/>
        </w:rPr>
        <w:t>3.</w:t>
      </w:r>
      <w:r w:rsidR="00C97EDD" w:rsidRPr="00E9089A">
        <w:rPr>
          <w:rFonts w:ascii="FrankRuehl" w:hAnsi="FrankRuehl"/>
          <w:kern w:val="28"/>
          <w:sz w:val="28"/>
          <w:rtl/>
        </w:rPr>
        <w:t xml:space="preserve">ציטוט </w:t>
      </w:r>
      <w:proofErr w:type="spellStart"/>
      <w:r w:rsidR="00C97EDD" w:rsidRPr="00E9089A">
        <w:rPr>
          <w:rFonts w:ascii="FrankRuehl" w:hAnsi="FrankRuehl"/>
          <w:kern w:val="28"/>
          <w:sz w:val="28"/>
          <w:rtl/>
        </w:rPr>
        <w:t>מפד"ר</w:t>
      </w:r>
      <w:proofErr w:type="spellEnd"/>
      <w:r w:rsidR="00C97EDD" w:rsidRPr="00E9089A">
        <w:rPr>
          <w:rFonts w:ascii="FrankRuehl" w:hAnsi="FrankRuehl"/>
          <w:kern w:val="28"/>
          <w:sz w:val="28"/>
          <w:rtl/>
        </w:rPr>
        <w:t xml:space="preserve"> חלק י' עמודים </w:t>
      </w:r>
      <w:r w:rsidRPr="00E9089A">
        <w:rPr>
          <w:rFonts w:ascii="FrankRuehl" w:hAnsi="FrankRuehl"/>
          <w:kern w:val="28"/>
          <w:sz w:val="28"/>
          <w:rtl/>
        </w:rPr>
        <w:t>139-140</w:t>
      </w:r>
      <w:r w:rsidR="00E91762">
        <w:rPr>
          <w:rFonts w:ascii="FrankRuehl" w:hAnsi="FrankRuehl" w:hint="cs"/>
          <w:kern w:val="28"/>
          <w:sz w:val="28"/>
          <w:rtl/>
        </w:rPr>
        <w:t>:</w:t>
      </w:r>
    </w:p>
    <w:p w14:paraId="4480DD85" w14:textId="15DF8F63" w:rsidR="00FD1F88" w:rsidRPr="00E9089A" w:rsidRDefault="00FD1F88" w:rsidP="00FD1F88">
      <w:pPr>
        <w:pStyle w:val="aa"/>
        <w:rPr>
          <w:rFonts w:ascii="FrankRuehl" w:hAnsi="FrankRuehl"/>
          <w:sz w:val="28"/>
          <w:rtl/>
        </w:rPr>
      </w:pPr>
      <w:r w:rsidRPr="00E9089A">
        <w:rPr>
          <w:rFonts w:ascii="FrankRuehl" w:hAnsi="FrankRuehl"/>
          <w:sz w:val="28"/>
          <w:rtl/>
        </w:rPr>
        <w:t>"אין זה גם מסתבר בדרך כלל, שסכסוך ממוני קיים שהצדדים סידרו אותו בהסדר סביר בהסכם גירושין, יתחיל להיות לא סביר עם חרטתו של אחד הצדדים מעצם הגירושין...</w:t>
      </w:r>
      <w:r w:rsidR="00E91762">
        <w:rPr>
          <w:rFonts w:ascii="FrankRuehl" w:hAnsi="FrankRuehl" w:hint="cs"/>
          <w:sz w:val="28"/>
          <w:rtl/>
        </w:rPr>
        <w:t xml:space="preserve"> </w:t>
      </w:r>
      <w:r w:rsidRPr="00E9089A">
        <w:rPr>
          <w:rFonts w:ascii="FrankRuehl" w:hAnsi="FrankRuehl"/>
          <w:sz w:val="28"/>
          <w:rtl/>
        </w:rPr>
        <w:t xml:space="preserve">אבל </w:t>
      </w:r>
      <w:proofErr w:type="spellStart"/>
      <w:r w:rsidRPr="00E9089A">
        <w:rPr>
          <w:rFonts w:ascii="FrankRuehl" w:hAnsi="FrankRuehl"/>
          <w:sz w:val="28"/>
          <w:rtl/>
        </w:rPr>
        <w:t>כשלא</w:t>
      </w:r>
      <w:proofErr w:type="spellEnd"/>
      <w:r w:rsidRPr="00E9089A">
        <w:rPr>
          <w:rFonts w:ascii="FrankRuehl" w:hAnsi="FrankRuehl"/>
          <w:sz w:val="28"/>
          <w:rtl/>
        </w:rPr>
        <w:t xml:space="preserve"> ניכר שיש כאן איזה גוזמא בהתחייבות, יש לראות ההסדר שהושג כהסכם סופי ומסתבר לסכסוך - בלי שיהי' תלוי בביצוע הגירושין בזמן."</w:t>
      </w:r>
    </w:p>
    <w:p w14:paraId="3B19E44E" w14:textId="312FDF24" w:rsidR="00C97EDD" w:rsidRPr="00E9089A" w:rsidRDefault="00C97EDD" w:rsidP="00E91762">
      <w:pPr>
        <w:snapToGrid w:val="0"/>
        <w:spacing w:after="120" w:line="276" w:lineRule="auto"/>
        <w:ind w:firstLine="397"/>
        <w:rPr>
          <w:rFonts w:ascii="FrankRuehl" w:hAnsi="FrankRuehl"/>
          <w:kern w:val="28"/>
          <w:sz w:val="28"/>
          <w:rtl/>
        </w:rPr>
      </w:pPr>
      <w:r w:rsidRPr="00E9089A">
        <w:rPr>
          <w:rFonts w:ascii="FrankRuehl" w:hAnsi="FrankRuehl"/>
          <w:kern w:val="28"/>
          <w:sz w:val="28"/>
          <w:rtl/>
        </w:rPr>
        <w:t>גם כאן פסקו שאין תלות לתנאי הממון שהוסכמו בזמן שיהיו גירושין</w:t>
      </w:r>
      <w:r w:rsidR="00E91762">
        <w:rPr>
          <w:rFonts w:ascii="FrankRuehl" w:hAnsi="FrankRuehl" w:hint="cs"/>
          <w:kern w:val="28"/>
          <w:sz w:val="28"/>
          <w:rtl/>
        </w:rPr>
        <w:t>,</w:t>
      </w:r>
      <w:r w:rsidRPr="00E9089A">
        <w:rPr>
          <w:rFonts w:ascii="FrankRuehl" w:hAnsi="FrankRuehl"/>
          <w:kern w:val="28"/>
          <w:sz w:val="28"/>
          <w:rtl/>
        </w:rPr>
        <w:t xml:space="preserve"> אך מ"מ יהיו גירושין. </w:t>
      </w:r>
      <w:proofErr w:type="spellStart"/>
      <w:r w:rsidRPr="00E9089A">
        <w:rPr>
          <w:rFonts w:ascii="FrankRuehl" w:hAnsi="FrankRuehl"/>
          <w:kern w:val="28"/>
          <w:sz w:val="28"/>
          <w:rtl/>
        </w:rPr>
        <w:t>משא"כ</w:t>
      </w:r>
      <w:proofErr w:type="spellEnd"/>
      <w:r w:rsidRPr="00E9089A">
        <w:rPr>
          <w:rFonts w:ascii="FrankRuehl" w:hAnsi="FrankRuehl"/>
          <w:kern w:val="28"/>
          <w:sz w:val="28"/>
          <w:rtl/>
        </w:rPr>
        <w:t xml:space="preserve"> בנידון דידן שלא היו גירושין כלל. ועוד</w:t>
      </w:r>
      <w:r w:rsidR="00FD1F88" w:rsidRPr="00E9089A">
        <w:rPr>
          <w:rFonts w:ascii="FrankRuehl" w:hAnsi="FrankRuehl"/>
          <w:kern w:val="28"/>
          <w:sz w:val="28"/>
          <w:rtl/>
        </w:rPr>
        <w:t>,</w:t>
      </w:r>
      <w:r w:rsidR="00E91762">
        <w:rPr>
          <w:rFonts w:ascii="FrankRuehl" w:hAnsi="FrankRuehl" w:hint="cs"/>
          <w:kern w:val="28"/>
          <w:sz w:val="28"/>
          <w:rtl/>
        </w:rPr>
        <w:t xml:space="preserve"> </w:t>
      </w:r>
      <w:r w:rsidR="00FD1F88" w:rsidRPr="00E9089A">
        <w:rPr>
          <w:rFonts w:ascii="FrankRuehl" w:hAnsi="FrankRuehl"/>
          <w:kern w:val="28"/>
          <w:sz w:val="28"/>
          <w:rtl/>
        </w:rPr>
        <w:t>מכיוון</w:t>
      </w:r>
      <w:r w:rsidRPr="00E9089A">
        <w:rPr>
          <w:rFonts w:ascii="FrankRuehl" w:hAnsi="FrankRuehl"/>
          <w:kern w:val="28"/>
          <w:sz w:val="28"/>
          <w:rtl/>
        </w:rPr>
        <w:t xml:space="preserve"> שהוכחנו בפסק הדין המקורי כי כל כוונתו היא אך ורק פיצוי הגרושה, מאחר שהאישה נפטרה ולא ניתן לפצותה, הרי זה הרבה יותר מגוזמא בהתחייבות – ההתחייבות אינה קיימת בנסיבות אלו כלל. </w:t>
      </w:r>
    </w:p>
    <w:p w14:paraId="6B586212" w14:textId="38A3386D" w:rsidR="00C97EDD" w:rsidRPr="00E9089A" w:rsidRDefault="00FD1F88" w:rsidP="00E91762">
      <w:pPr>
        <w:snapToGrid w:val="0"/>
        <w:spacing w:after="120" w:line="276" w:lineRule="auto"/>
        <w:ind w:firstLine="397"/>
        <w:rPr>
          <w:rFonts w:ascii="FrankRuehl" w:hAnsi="FrankRuehl"/>
          <w:kern w:val="28"/>
          <w:sz w:val="28"/>
        </w:rPr>
      </w:pPr>
      <w:r w:rsidRPr="00E9089A">
        <w:rPr>
          <w:rFonts w:ascii="FrankRuehl" w:hAnsi="FrankRuehl"/>
          <w:kern w:val="28"/>
          <w:sz w:val="28"/>
          <w:rtl/>
        </w:rPr>
        <w:t>4.</w:t>
      </w:r>
      <w:r w:rsidR="00C97EDD" w:rsidRPr="00E9089A">
        <w:rPr>
          <w:rFonts w:ascii="FrankRuehl" w:hAnsi="FrankRuehl"/>
          <w:kern w:val="28"/>
          <w:sz w:val="28"/>
          <w:rtl/>
        </w:rPr>
        <w:t xml:space="preserve">ציטוט </w:t>
      </w:r>
      <w:proofErr w:type="spellStart"/>
      <w:r w:rsidR="00C97EDD" w:rsidRPr="00E9089A">
        <w:rPr>
          <w:rFonts w:ascii="FrankRuehl" w:hAnsi="FrankRuehl"/>
          <w:kern w:val="28"/>
          <w:sz w:val="28"/>
          <w:rtl/>
        </w:rPr>
        <w:t>מפד"ר</w:t>
      </w:r>
      <w:proofErr w:type="spellEnd"/>
      <w:r w:rsidR="00C97EDD" w:rsidRPr="00E9089A">
        <w:rPr>
          <w:rFonts w:ascii="FrankRuehl" w:hAnsi="FrankRuehl"/>
          <w:kern w:val="28"/>
          <w:sz w:val="28"/>
          <w:rtl/>
        </w:rPr>
        <w:t xml:space="preserve"> חלק </w:t>
      </w:r>
      <w:r w:rsidR="002E0AB4">
        <w:rPr>
          <w:rFonts w:ascii="FrankRuehl" w:hAnsi="FrankRuehl" w:hint="cs"/>
          <w:kern w:val="28"/>
          <w:sz w:val="28"/>
          <w:rtl/>
        </w:rPr>
        <w:t>י"א</w:t>
      </w:r>
      <w:r w:rsidR="00C97EDD" w:rsidRPr="00E9089A">
        <w:rPr>
          <w:rFonts w:ascii="FrankRuehl" w:hAnsi="FrankRuehl"/>
          <w:kern w:val="28"/>
          <w:sz w:val="28"/>
          <w:rtl/>
        </w:rPr>
        <w:t xml:space="preserve"> עמוד 91</w:t>
      </w:r>
      <w:r w:rsidR="00E91762">
        <w:rPr>
          <w:rFonts w:ascii="FrankRuehl" w:hAnsi="FrankRuehl" w:hint="cs"/>
          <w:kern w:val="28"/>
          <w:sz w:val="28"/>
          <w:rtl/>
        </w:rPr>
        <w:t>:</w:t>
      </w:r>
      <w:r w:rsidR="00C97EDD" w:rsidRPr="00E9089A">
        <w:rPr>
          <w:rFonts w:ascii="FrankRuehl" w:hAnsi="FrankRuehl"/>
          <w:kern w:val="28"/>
          <w:sz w:val="28"/>
          <w:rtl/>
        </w:rPr>
        <w:t xml:space="preserve"> </w:t>
      </w:r>
    </w:p>
    <w:p w14:paraId="5446A05A" w14:textId="4C19D429" w:rsidR="00FD1F88" w:rsidRPr="00E9089A" w:rsidRDefault="00FD1F88" w:rsidP="00FD1F88">
      <w:pPr>
        <w:pStyle w:val="aa"/>
        <w:rPr>
          <w:rFonts w:ascii="FrankRuehl" w:hAnsi="FrankRuehl"/>
          <w:sz w:val="28"/>
          <w:rtl/>
        </w:rPr>
      </w:pPr>
      <w:r w:rsidRPr="00E9089A">
        <w:rPr>
          <w:rFonts w:ascii="FrankRuehl" w:hAnsi="FrankRuehl"/>
          <w:sz w:val="28"/>
          <w:rtl/>
        </w:rPr>
        <w:t xml:space="preserve">"ויש להוסיף עוד שהעברתו על שמה, לא נעשתה על ידו מתוך נדיבות לב גרידא, אלא הוא קיבל בתמורת זה את הדירה, שהרי השאירה לו את הדירה ושכרה דירה אחרת </w:t>
      </w:r>
      <w:r w:rsidRPr="00BA19D6">
        <w:rPr>
          <w:rFonts w:ascii="FrankRuehl" w:hAnsi="FrankRuehl"/>
          <w:sz w:val="28"/>
          <w:szCs w:val="24"/>
          <w:rtl/>
        </w:rPr>
        <w:t xml:space="preserve">(בניגוד להסכם הגירושין הראשון שהשאיר לה גם את הדירה וגם </w:t>
      </w:r>
      <w:r w:rsidRPr="00BA19D6">
        <w:rPr>
          <w:rFonts w:ascii="FrankRuehl" w:hAnsi="FrankRuehl"/>
          <w:sz w:val="28"/>
          <w:szCs w:val="24"/>
          <w:rtl/>
        </w:rPr>
        <w:lastRenderedPageBreak/>
        <w:t>את הקיוסק)</w:t>
      </w:r>
      <w:r w:rsidRPr="00E9089A">
        <w:rPr>
          <w:rFonts w:ascii="FrankRuehl" w:hAnsi="FrankRuehl"/>
          <w:sz w:val="28"/>
          <w:rtl/>
        </w:rPr>
        <w:t xml:space="preserve">, ויש מקום לראות את העברת הקיוסק </w:t>
      </w:r>
      <w:proofErr w:type="spellStart"/>
      <w:r w:rsidRPr="00E9089A">
        <w:rPr>
          <w:rFonts w:ascii="FrankRuehl" w:hAnsi="FrankRuehl"/>
          <w:sz w:val="28"/>
          <w:rtl/>
        </w:rPr>
        <w:t>כעיסקא</w:t>
      </w:r>
      <w:proofErr w:type="spellEnd"/>
      <w:r w:rsidRPr="00E9089A">
        <w:rPr>
          <w:rFonts w:ascii="FrankRuehl" w:hAnsi="FrankRuehl"/>
          <w:sz w:val="28"/>
          <w:rtl/>
        </w:rPr>
        <w:t xml:space="preserve"> בפני עצמה </w:t>
      </w:r>
      <w:r w:rsidRPr="00BA19D6">
        <w:rPr>
          <w:rFonts w:ascii="FrankRuehl" w:hAnsi="FrankRuehl"/>
          <w:sz w:val="28"/>
          <w:szCs w:val="24"/>
          <w:rtl/>
        </w:rPr>
        <w:t>(ללא קשר עם הגירושין)</w:t>
      </w:r>
      <w:r w:rsidRPr="00E9089A">
        <w:rPr>
          <w:rFonts w:ascii="FrankRuehl" w:hAnsi="FrankRuehl"/>
          <w:sz w:val="28"/>
          <w:rtl/>
        </w:rPr>
        <w:t xml:space="preserve"> תמורת עזיבתה את הדירה ואי תביעת מזונות ממנו והמסעדה שנשארה בבעלותו הבלעדית."</w:t>
      </w:r>
    </w:p>
    <w:p w14:paraId="669E39AB" w14:textId="37805DFB" w:rsidR="00C97EDD" w:rsidRPr="00E9089A" w:rsidRDefault="00C97EDD" w:rsidP="00E91762">
      <w:pPr>
        <w:snapToGrid w:val="0"/>
        <w:spacing w:after="120" w:line="276" w:lineRule="auto"/>
        <w:ind w:firstLine="397"/>
        <w:rPr>
          <w:rFonts w:ascii="FrankRuehl" w:hAnsi="FrankRuehl"/>
          <w:kern w:val="28"/>
          <w:sz w:val="28"/>
          <w:rtl/>
        </w:rPr>
      </w:pPr>
      <w:r w:rsidRPr="00E9089A">
        <w:rPr>
          <w:rFonts w:ascii="FrankRuehl" w:hAnsi="FrankRuehl"/>
          <w:kern w:val="28"/>
          <w:sz w:val="28"/>
          <w:rtl/>
        </w:rPr>
        <w:t>גם בנידון שלפנינו יש לראות את העברת חלקו בדירה לאישה כעסקה בפני עצמה – תמורת השקט הנפשי והשקטת מצפונו אות</w:t>
      </w:r>
      <w:r w:rsidR="00FD1F88" w:rsidRPr="00E9089A">
        <w:rPr>
          <w:rFonts w:ascii="FrankRuehl" w:hAnsi="FrankRuehl"/>
          <w:kern w:val="28"/>
          <w:sz w:val="28"/>
          <w:rtl/>
        </w:rPr>
        <w:t>ם</w:t>
      </w:r>
      <w:r w:rsidRPr="00E9089A">
        <w:rPr>
          <w:rFonts w:ascii="FrankRuehl" w:hAnsi="FrankRuehl"/>
          <w:kern w:val="28"/>
          <w:sz w:val="28"/>
          <w:rtl/>
        </w:rPr>
        <w:t xml:space="preserve"> חשב לקבל</w:t>
      </w:r>
      <w:r w:rsidR="00FD1F88" w:rsidRPr="00E9089A">
        <w:rPr>
          <w:rFonts w:ascii="FrankRuehl" w:hAnsi="FrankRuehl"/>
          <w:kern w:val="28"/>
          <w:sz w:val="28"/>
          <w:rtl/>
        </w:rPr>
        <w:t>,</w:t>
      </w:r>
      <w:r w:rsidRPr="00E9089A">
        <w:rPr>
          <w:rFonts w:ascii="FrankRuehl" w:hAnsi="FrankRuehl"/>
          <w:kern w:val="28"/>
          <w:sz w:val="28"/>
          <w:rtl/>
        </w:rPr>
        <w:t xml:space="preserve"> </w:t>
      </w:r>
      <w:r w:rsidR="00FD1F88" w:rsidRPr="00E9089A">
        <w:rPr>
          <w:rFonts w:ascii="FrankRuehl" w:hAnsi="FrankRuehl"/>
          <w:kern w:val="28"/>
          <w:sz w:val="28"/>
          <w:rtl/>
        </w:rPr>
        <w:t xml:space="preserve">אם </w:t>
      </w:r>
      <w:r w:rsidRPr="00E9089A">
        <w:rPr>
          <w:rFonts w:ascii="FrankRuehl" w:hAnsi="FrankRuehl"/>
          <w:kern w:val="28"/>
          <w:sz w:val="28"/>
          <w:rtl/>
        </w:rPr>
        <w:t xml:space="preserve">גרושתו </w:t>
      </w:r>
      <w:r w:rsidR="00FD1F88" w:rsidRPr="00E9089A">
        <w:rPr>
          <w:rFonts w:ascii="FrankRuehl" w:hAnsi="FrankRuehl"/>
          <w:kern w:val="28"/>
          <w:sz w:val="28"/>
          <w:rtl/>
        </w:rPr>
        <w:t>אכן תיהנה בשארית ימיה מהדירה.</w:t>
      </w:r>
      <w:r w:rsidRPr="00E9089A">
        <w:rPr>
          <w:rFonts w:ascii="FrankRuehl" w:hAnsi="FrankRuehl"/>
          <w:kern w:val="28"/>
          <w:sz w:val="28"/>
          <w:rtl/>
        </w:rPr>
        <w:t xml:space="preserve"> אולם משזו נפטרה לבית עולמה, הרי עומד הבעל לפנינו ומכריז כי אין לו דבר עם נכדיו. ושוב – מכ</w:t>
      </w:r>
      <w:r w:rsidR="00FD1F88" w:rsidRPr="00E9089A">
        <w:rPr>
          <w:rFonts w:ascii="FrankRuehl" w:hAnsi="FrankRuehl"/>
          <w:kern w:val="28"/>
          <w:sz w:val="28"/>
          <w:rtl/>
        </w:rPr>
        <w:t>י</w:t>
      </w:r>
      <w:r w:rsidRPr="00E9089A">
        <w:rPr>
          <w:rFonts w:ascii="FrankRuehl" w:hAnsi="FrankRuehl"/>
          <w:kern w:val="28"/>
          <w:sz w:val="28"/>
          <w:rtl/>
        </w:rPr>
        <w:t>וון שכך גם עולה מעיון מלשון הסכם הגירושין כ</w:t>
      </w:r>
      <w:r w:rsidR="00FD1F88" w:rsidRPr="00E9089A">
        <w:rPr>
          <w:rFonts w:ascii="FrankRuehl" w:hAnsi="FrankRuehl"/>
          <w:kern w:val="28"/>
          <w:sz w:val="28"/>
          <w:rtl/>
        </w:rPr>
        <w:t>פי שמובא</w:t>
      </w:r>
      <w:r w:rsidRPr="00E9089A">
        <w:rPr>
          <w:rFonts w:ascii="FrankRuehl" w:hAnsi="FrankRuehl"/>
          <w:kern w:val="28"/>
          <w:sz w:val="28"/>
          <w:rtl/>
        </w:rPr>
        <w:t xml:space="preserve"> בהחלטתנו המקורית, שוב אין לשנותה. </w:t>
      </w:r>
    </w:p>
    <w:p w14:paraId="5F1744C3" w14:textId="1DBFDBEC" w:rsidR="00C97EDD" w:rsidRPr="00E9089A" w:rsidRDefault="00FD1F88" w:rsidP="00E91762">
      <w:pPr>
        <w:snapToGrid w:val="0"/>
        <w:spacing w:after="120" w:line="276" w:lineRule="auto"/>
        <w:ind w:firstLine="397"/>
        <w:rPr>
          <w:rFonts w:ascii="FrankRuehl" w:hAnsi="FrankRuehl"/>
          <w:kern w:val="28"/>
          <w:sz w:val="28"/>
        </w:rPr>
      </w:pPr>
      <w:r w:rsidRPr="00E9089A">
        <w:rPr>
          <w:rFonts w:ascii="FrankRuehl" w:hAnsi="FrankRuehl"/>
          <w:kern w:val="28"/>
          <w:sz w:val="28"/>
          <w:rtl/>
        </w:rPr>
        <w:t>5.</w:t>
      </w:r>
      <w:r w:rsidR="00C97EDD" w:rsidRPr="00E9089A">
        <w:rPr>
          <w:rFonts w:ascii="FrankRuehl" w:hAnsi="FrankRuehl"/>
          <w:kern w:val="28"/>
          <w:sz w:val="28"/>
          <w:rtl/>
        </w:rPr>
        <w:t xml:space="preserve">ציטוט </w:t>
      </w:r>
      <w:proofErr w:type="spellStart"/>
      <w:r w:rsidR="00C97EDD" w:rsidRPr="00E9089A">
        <w:rPr>
          <w:rFonts w:ascii="FrankRuehl" w:hAnsi="FrankRuehl"/>
          <w:kern w:val="28"/>
          <w:sz w:val="28"/>
          <w:rtl/>
        </w:rPr>
        <w:t>מפד"ר</w:t>
      </w:r>
      <w:proofErr w:type="spellEnd"/>
      <w:r w:rsidR="00C97EDD" w:rsidRPr="00E9089A">
        <w:rPr>
          <w:rFonts w:ascii="FrankRuehl" w:hAnsi="FrankRuehl"/>
          <w:kern w:val="28"/>
          <w:sz w:val="28"/>
          <w:rtl/>
        </w:rPr>
        <w:t xml:space="preserve"> חלק ה' עמוד </w:t>
      </w:r>
      <w:r w:rsidR="002E0AB4">
        <w:rPr>
          <w:rFonts w:ascii="FrankRuehl" w:hAnsi="FrankRuehl" w:hint="cs"/>
          <w:kern w:val="28"/>
          <w:sz w:val="28"/>
          <w:rtl/>
        </w:rPr>
        <w:t>212</w:t>
      </w:r>
    </w:p>
    <w:p w14:paraId="33E10A7A" w14:textId="33D37253" w:rsidR="00FD1F88" w:rsidRPr="00E9089A" w:rsidRDefault="00FD1F88" w:rsidP="00FD1F88">
      <w:pPr>
        <w:pStyle w:val="aa"/>
        <w:rPr>
          <w:rFonts w:ascii="FrankRuehl" w:hAnsi="FrankRuehl"/>
          <w:sz w:val="28"/>
          <w:rtl/>
        </w:rPr>
      </w:pPr>
      <w:r w:rsidRPr="00E9089A">
        <w:rPr>
          <w:rFonts w:ascii="FrankRuehl" w:hAnsi="FrankRuehl"/>
          <w:sz w:val="28"/>
          <w:rtl/>
        </w:rPr>
        <w:t xml:space="preserve">"כן לפנינו העובדה </w:t>
      </w:r>
      <w:proofErr w:type="spellStart"/>
      <w:r w:rsidRPr="00E9089A">
        <w:rPr>
          <w:rFonts w:ascii="FrankRuehl" w:hAnsi="FrankRuehl"/>
          <w:sz w:val="28"/>
          <w:rtl/>
        </w:rPr>
        <w:t>שהאשה</w:t>
      </w:r>
      <w:proofErr w:type="spellEnd"/>
      <w:r w:rsidRPr="00E9089A">
        <w:rPr>
          <w:rFonts w:ascii="FrankRuehl" w:hAnsi="FrankRuehl"/>
          <w:sz w:val="28"/>
          <w:rtl/>
        </w:rPr>
        <w:t xml:space="preserve"> כבר קיבלה חלקה בהתאם להסכם וכן נתנה לבעל את חלקו וביחד טיפלו בהעברת הדירה ע"ש </w:t>
      </w:r>
      <w:proofErr w:type="spellStart"/>
      <w:r w:rsidRPr="00E9089A">
        <w:rPr>
          <w:rFonts w:ascii="FrankRuehl" w:hAnsi="FrankRuehl"/>
          <w:sz w:val="28"/>
          <w:rtl/>
        </w:rPr>
        <w:t>האשה</w:t>
      </w:r>
      <w:proofErr w:type="spellEnd"/>
      <w:r w:rsidRPr="00E9089A">
        <w:rPr>
          <w:rFonts w:ascii="FrankRuehl" w:hAnsi="FrankRuehl"/>
          <w:sz w:val="28"/>
          <w:rtl/>
        </w:rPr>
        <w:t xml:space="preserve">, וכל זה עשו כבר לפני הגירושין, הרי במעשיה אלה הוכיחה </w:t>
      </w:r>
      <w:proofErr w:type="spellStart"/>
      <w:r w:rsidRPr="00E9089A">
        <w:rPr>
          <w:rFonts w:ascii="FrankRuehl" w:hAnsi="FrankRuehl"/>
          <w:sz w:val="28"/>
          <w:rtl/>
        </w:rPr>
        <w:t>האשה</w:t>
      </w:r>
      <w:proofErr w:type="spellEnd"/>
      <w:r w:rsidRPr="00E9089A">
        <w:rPr>
          <w:rFonts w:ascii="FrankRuehl" w:hAnsi="FrankRuehl"/>
          <w:sz w:val="28"/>
          <w:rtl/>
        </w:rPr>
        <w:t xml:space="preserve"> שכוו' ההסכם הוא </w:t>
      </w:r>
      <w:proofErr w:type="spellStart"/>
      <w:r w:rsidRPr="00E9089A">
        <w:rPr>
          <w:rFonts w:ascii="FrankRuehl" w:hAnsi="FrankRuehl"/>
          <w:sz w:val="28"/>
          <w:rtl/>
        </w:rPr>
        <w:t>שענינים</w:t>
      </w:r>
      <w:proofErr w:type="spellEnd"/>
      <w:r w:rsidRPr="00E9089A">
        <w:rPr>
          <w:rFonts w:ascii="FrankRuehl" w:hAnsi="FrankRuehl"/>
          <w:sz w:val="28"/>
          <w:rtl/>
        </w:rPr>
        <w:t xml:space="preserve"> הכספיים אינם קשורים קשר הדוק בתנאי בל - יעבור עם ביצוע הגט. וכעין זה כתב משפטי שמואל סי' ס"ו בסוף התשו' וז"ל: וגם תדע המעיין </w:t>
      </w:r>
      <w:proofErr w:type="spellStart"/>
      <w:r w:rsidRPr="00E9089A">
        <w:rPr>
          <w:rFonts w:ascii="FrankRuehl" w:hAnsi="FrankRuehl"/>
          <w:sz w:val="28"/>
          <w:rtl/>
        </w:rPr>
        <w:t>דכ"מ</w:t>
      </w:r>
      <w:proofErr w:type="spellEnd"/>
      <w:r w:rsidRPr="00E9089A">
        <w:rPr>
          <w:rFonts w:ascii="FrankRuehl" w:hAnsi="FrankRuehl"/>
          <w:sz w:val="28"/>
          <w:rtl/>
        </w:rPr>
        <w:t xml:space="preserve"> שתמצא בים הגמרא </w:t>
      </w:r>
      <w:proofErr w:type="spellStart"/>
      <w:r w:rsidRPr="00E9089A">
        <w:rPr>
          <w:rFonts w:ascii="FrankRuehl" w:hAnsi="FrankRuehl"/>
          <w:sz w:val="28"/>
          <w:rtl/>
        </w:rPr>
        <w:t>דאמרינן</w:t>
      </w:r>
      <w:proofErr w:type="spellEnd"/>
      <w:r w:rsidRPr="00E9089A">
        <w:rPr>
          <w:rFonts w:ascii="FrankRuehl" w:hAnsi="FrankRuehl"/>
          <w:sz w:val="28"/>
          <w:rtl/>
        </w:rPr>
        <w:t xml:space="preserve"> מסתמא מחיל אף על פי שלא מצינו שמחל בפירוש, היינו בדברים שכנגדו עשה מעשה שלא היה ראוי בו אם לא היה מוחל בו, או שהוא בעצמו עשה מעשה שגילה דעתו שמחל והו"ל כאילו פירש וגמר מחילתו </w:t>
      </w:r>
      <w:proofErr w:type="spellStart"/>
      <w:r w:rsidRPr="00E9089A">
        <w:rPr>
          <w:rFonts w:ascii="FrankRuehl" w:hAnsi="FrankRuehl"/>
          <w:sz w:val="28"/>
          <w:rtl/>
        </w:rPr>
        <w:t>וכו</w:t>
      </w:r>
      <w:proofErr w:type="spellEnd"/>
      <w:r w:rsidRPr="00E9089A">
        <w:rPr>
          <w:rFonts w:ascii="FrankRuehl" w:hAnsi="FrankRuehl"/>
          <w:sz w:val="28"/>
          <w:rtl/>
        </w:rPr>
        <w:t xml:space="preserve">'. הרי שאם </w:t>
      </w:r>
      <w:proofErr w:type="spellStart"/>
      <w:r w:rsidRPr="00E9089A">
        <w:rPr>
          <w:rFonts w:ascii="FrankRuehl" w:hAnsi="FrankRuehl"/>
          <w:sz w:val="28"/>
          <w:rtl/>
        </w:rPr>
        <w:t>האשה</w:t>
      </w:r>
      <w:proofErr w:type="spellEnd"/>
      <w:r w:rsidRPr="00E9089A">
        <w:rPr>
          <w:rFonts w:ascii="FrankRuehl" w:hAnsi="FrankRuehl"/>
          <w:sz w:val="28"/>
          <w:rtl/>
        </w:rPr>
        <w:t xml:space="preserve"> עשתה מעשה שבו היא מוכיחה שהמחילה או ההסכם הממוני הוא מילתא אחריתי, אין היא יכולה לבוא ולטעון שבזה הוי מילתא אחריתי ובזה הוא קשור עם תנאי הגירושין."</w:t>
      </w:r>
    </w:p>
    <w:p w14:paraId="4E486834" w14:textId="234EFF8B" w:rsidR="00C97EDD" w:rsidRPr="00E9089A" w:rsidRDefault="00C97EDD" w:rsidP="00E91762">
      <w:pPr>
        <w:snapToGrid w:val="0"/>
        <w:spacing w:after="120" w:line="276" w:lineRule="auto"/>
        <w:ind w:firstLine="397"/>
        <w:rPr>
          <w:rFonts w:ascii="FrankRuehl" w:hAnsi="FrankRuehl"/>
          <w:kern w:val="28"/>
          <w:sz w:val="28"/>
          <w:rtl/>
        </w:rPr>
      </w:pPr>
      <w:r w:rsidRPr="00E9089A">
        <w:rPr>
          <w:rFonts w:ascii="FrankRuehl" w:hAnsi="FrankRuehl"/>
          <w:kern w:val="28"/>
          <w:sz w:val="28"/>
          <w:rtl/>
        </w:rPr>
        <w:t xml:space="preserve">הרי </w:t>
      </w:r>
      <w:proofErr w:type="spellStart"/>
      <w:r w:rsidRPr="00E9089A">
        <w:rPr>
          <w:rFonts w:ascii="FrankRuehl" w:hAnsi="FrankRuehl"/>
          <w:kern w:val="28"/>
          <w:sz w:val="28"/>
          <w:rtl/>
        </w:rPr>
        <w:t>להדיא</w:t>
      </w:r>
      <w:proofErr w:type="spellEnd"/>
      <w:r w:rsidRPr="00E9089A">
        <w:rPr>
          <w:rFonts w:ascii="FrankRuehl" w:hAnsi="FrankRuehl"/>
          <w:kern w:val="28"/>
          <w:sz w:val="28"/>
          <w:rtl/>
        </w:rPr>
        <w:t xml:space="preserve"> כתבו שנדרש מעשה שגילה דעתו שמחל. בנידון דידן, נעשה מעשה שגילה דעתו </w:t>
      </w:r>
      <w:r w:rsidRPr="00E9089A">
        <w:rPr>
          <w:rFonts w:ascii="FrankRuehl" w:hAnsi="FrankRuehl"/>
          <w:b/>
          <w:bCs/>
          <w:kern w:val="28"/>
          <w:sz w:val="28"/>
          <w:rtl/>
        </w:rPr>
        <w:t xml:space="preserve">שלא מחל, </w:t>
      </w:r>
      <w:r w:rsidRPr="00E9089A">
        <w:rPr>
          <w:rFonts w:ascii="FrankRuehl" w:hAnsi="FrankRuehl"/>
          <w:kern w:val="28"/>
          <w:sz w:val="28"/>
          <w:rtl/>
        </w:rPr>
        <w:t>אלא ניסה לפצות את גרושתו על שנים קשות עימו. ומפורש העביר לה את חלקו ככל שתהיה גרושה ממנו ות</w:t>
      </w:r>
      <w:r w:rsidR="00FD1F88" w:rsidRPr="00E9089A">
        <w:rPr>
          <w:rFonts w:ascii="FrankRuehl" w:hAnsi="FrankRuehl"/>
          <w:kern w:val="28"/>
          <w:sz w:val="28"/>
          <w:rtl/>
        </w:rPr>
        <w:t>י</w:t>
      </w:r>
      <w:r w:rsidRPr="00E9089A">
        <w:rPr>
          <w:rFonts w:ascii="FrankRuehl" w:hAnsi="FrankRuehl"/>
          <w:kern w:val="28"/>
          <w:sz w:val="28"/>
          <w:rtl/>
        </w:rPr>
        <w:t>הנה מכך. דבר שלא קרה מחמת פטירתה.</w:t>
      </w:r>
    </w:p>
    <w:p w14:paraId="4AD28169" w14:textId="41568EB8" w:rsidR="00C97EDD" w:rsidRPr="00E9089A" w:rsidRDefault="00C97EDD" w:rsidP="00E91762">
      <w:pPr>
        <w:snapToGrid w:val="0"/>
        <w:spacing w:after="120" w:line="276" w:lineRule="auto"/>
        <w:ind w:firstLine="397"/>
        <w:rPr>
          <w:rFonts w:ascii="FrankRuehl" w:eastAsia="Times New Roman" w:hAnsi="FrankRuehl"/>
          <w:sz w:val="28"/>
          <w:rtl/>
          <w:lang w:eastAsia="he-IL"/>
        </w:rPr>
      </w:pPr>
      <w:r w:rsidRPr="00E9089A">
        <w:rPr>
          <w:rFonts w:ascii="FrankRuehl" w:eastAsia="Times New Roman" w:hAnsi="FrankRuehl"/>
          <w:sz w:val="28"/>
          <w:rtl/>
          <w:lang w:eastAsia="he-IL"/>
        </w:rPr>
        <w:t xml:space="preserve">סיכום חלק זה – במקום שנקבעו הסדרים </w:t>
      </w:r>
      <w:proofErr w:type="spellStart"/>
      <w:r w:rsidRPr="00E9089A">
        <w:rPr>
          <w:rFonts w:ascii="FrankRuehl" w:eastAsia="Times New Roman" w:hAnsi="FrankRuehl"/>
          <w:sz w:val="28"/>
          <w:rtl/>
          <w:lang w:eastAsia="he-IL"/>
        </w:rPr>
        <w:t>רכושיים</w:t>
      </w:r>
      <w:proofErr w:type="spellEnd"/>
      <w:r w:rsidRPr="00E9089A">
        <w:rPr>
          <w:rFonts w:ascii="FrankRuehl" w:eastAsia="Times New Roman" w:hAnsi="FrankRuehl"/>
          <w:sz w:val="28"/>
          <w:rtl/>
          <w:lang w:eastAsia="he-IL"/>
        </w:rPr>
        <w:t xml:space="preserve"> שאינם נובעים מעצם הגירושין, כגון גובה מזונות ילדים ומדורם, הרי אלו עומדים בפני עצמם. אולם אין לקבוע באופן גורף כי ביטול הגירושין אינו </w:t>
      </w:r>
      <w:r w:rsidRPr="00E91762">
        <w:rPr>
          <w:rFonts w:ascii="FrankRuehl" w:hAnsi="FrankRuehl"/>
          <w:kern w:val="28"/>
          <w:sz w:val="28"/>
          <w:rtl/>
        </w:rPr>
        <w:t>משפיע</w:t>
      </w:r>
      <w:r w:rsidRPr="00E9089A">
        <w:rPr>
          <w:rFonts w:ascii="FrankRuehl" w:eastAsia="Times New Roman" w:hAnsi="FrankRuehl"/>
          <w:sz w:val="28"/>
          <w:rtl/>
          <w:lang w:eastAsia="he-IL"/>
        </w:rPr>
        <w:t xml:space="preserve"> ע</w:t>
      </w:r>
      <w:r w:rsidR="00FD1F88" w:rsidRPr="00E9089A">
        <w:rPr>
          <w:rFonts w:ascii="FrankRuehl" w:eastAsia="Times New Roman" w:hAnsi="FrankRuehl"/>
          <w:sz w:val="28"/>
          <w:rtl/>
          <w:lang w:eastAsia="he-IL"/>
        </w:rPr>
        <w:t>ל</w:t>
      </w:r>
      <w:r w:rsidRPr="00E9089A">
        <w:rPr>
          <w:rFonts w:ascii="FrankRuehl" w:eastAsia="Times New Roman" w:hAnsi="FrankRuehl"/>
          <w:sz w:val="28"/>
          <w:rtl/>
          <w:lang w:eastAsia="he-IL"/>
        </w:rPr>
        <w:t xml:space="preserve"> שום רכיב רכוש שבהסכם, ויש לעיין בכל מקרה לגופו.</w:t>
      </w:r>
    </w:p>
    <w:p w14:paraId="08BB6FEA" w14:textId="76787C97" w:rsidR="00C97EDD" w:rsidRPr="00E9089A" w:rsidRDefault="00FD1F88" w:rsidP="00E91762">
      <w:pPr>
        <w:snapToGrid w:val="0"/>
        <w:spacing w:after="120" w:line="276" w:lineRule="auto"/>
        <w:ind w:firstLine="397"/>
        <w:rPr>
          <w:rFonts w:ascii="FrankRuehl" w:hAnsi="FrankRuehl"/>
          <w:kern w:val="28"/>
          <w:sz w:val="28"/>
          <w:rtl/>
          <w:lang w:eastAsia="he-IL"/>
        </w:rPr>
      </w:pPr>
      <w:r w:rsidRPr="00E9089A">
        <w:rPr>
          <w:rFonts w:ascii="FrankRuehl" w:hAnsi="FrankRuehl"/>
          <w:b/>
          <w:bCs/>
          <w:kern w:val="28"/>
          <w:sz w:val="28"/>
          <w:rtl/>
          <w:lang w:eastAsia="he-IL"/>
        </w:rPr>
        <w:t>ד.</w:t>
      </w:r>
      <w:r w:rsidR="00E91762">
        <w:rPr>
          <w:rFonts w:ascii="FrankRuehl" w:hAnsi="FrankRuehl" w:hint="cs"/>
          <w:kern w:val="28"/>
          <w:sz w:val="28"/>
          <w:rtl/>
          <w:lang w:eastAsia="he-IL"/>
        </w:rPr>
        <w:t xml:space="preserve"> </w:t>
      </w:r>
      <w:r w:rsidR="00C97EDD" w:rsidRPr="00E9089A">
        <w:rPr>
          <w:rFonts w:ascii="FrankRuehl" w:hAnsi="FrankRuehl"/>
          <w:kern w:val="28"/>
          <w:sz w:val="28"/>
          <w:rtl/>
          <w:lang w:eastAsia="he-IL"/>
        </w:rPr>
        <w:t xml:space="preserve">עוד טוענת </w:t>
      </w:r>
      <w:proofErr w:type="spellStart"/>
      <w:r w:rsidR="00C97EDD" w:rsidRPr="00E9089A">
        <w:rPr>
          <w:rFonts w:ascii="FrankRuehl" w:hAnsi="FrankRuehl"/>
          <w:kern w:val="28"/>
          <w:sz w:val="28"/>
          <w:rtl/>
        </w:rPr>
        <w:t>האפוטרופא</w:t>
      </w:r>
      <w:proofErr w:type="spellEnd"/>
      <w:r w:rsidR="00C97EDD" w:rsidRPr="00E9089A">
        <w:rPr>
          <w:rFonts w:ascii="FrankRuehl" w:hAnsi="FrankRuehl"/>
          <w:kern w:val="28"/>
          <w:sz w:val="28"/>
          <w:rtl/>
          <w:lang w:eastAsia="he-IL"/>
        </w:rPr>
        <w:t xml:space="preserve"> לחוסר תום לב.</w:t>
      </w:r>
    </w:p>
    <w:p w14:paraId="19C12486" w14:textId="1EC7CD16" w:rsidR="00C97EDD" w:rsidRPr="00E9089A" w:rsidRDefault="00C97EDD" w:rsidP="00E91762">
      <w:pPr>
        <w:snapToGrid w:val="0"/>
        <w:spacing w:after="120" w:line="276" w:lineRule="auto"/>
        <w:ind w:firstLine="397"/>
        <w:rPr>
          <w:rFonts w:ascii="FrankRuehl" w:hAnsi="FrankRuehl"/>
          <w:kern w:val="28"/>
          <w:sz w:val="28"/>
          <w:rtl/>
          <w:lang w:eastAsia="he-IL"/>
        </w:rPr>
      </w:pPr>
      <w:r w:rsidRPr="00E9089A">
        <w:rPr>
          <w:rFonts w:ascii="FrankRuehl" w:hAnsi="FrankRuehl"/>
          <w:kern w:val="28"/>
          <w:sz w:val="28"/>
          <w:rtl/>
          <w:lang w:eastAsia="he-IL"/>
        </w:rPr>
        <w:t xml:space="preserve">טענה זו מוטב </w:t>
      </w:r>
      <w:r w:rsidR="00FD1F88" w:rsidRPr="00E9089A">
        <w:rPr>
          <w:rFonts w:ascii="FrankRuehl" w:hAnsi="FrankRuehl"/>
          <w:kern w:val="28"/>
          <w:sz w:val="28"/>
          <w:rtl/>
          <w:lang w:eastAsia="he-IL"/>
        </w:rPr>
        <w:t xml:space="preserve">היה </w:t>
      </w:r>
      <w:r w:rsidRPr="00E9089A">
        <w:rPr>
          <w:rFonts w:ascii="FrankRuehl" w:hAnsi="FrankRuehl"/>
          <w:kern w:val="28"/>
          <w:sz w:val="28"/>
          <w:rtl/>
          <w:lang w:eastAsia="he-IL"/>
        </w:rPr>
        <w:t>לה שלא ת</w:t>
      </w:r>
      <w:r w:rsidR="00FD1F88" w:rsidRPr="00E9089A">
        <w:rPr>
          <w:rFonts w:ascii="FrankRuehl" w:hAnsi="FrankRuehl"/>
          <w:kern w:val="28"/>
          <w:sz w:val="28"/>
          <w:rtl/>
          <w:lang w:eastAsia="he-IL"/>
        </w:rPr>
        <w:t>י</w:t>
      </w:r>
      <w:r w:rsidRPr="00E9089A">
        <w:rPr>
          <w:rFonts w:ascii="FrankRuehl" w:hAnsi="FrankRuehl"/>
          <w:kern w:val="28"/>
          <w:sz w:val="28"/>
          <w:rtl/>
          <w:lang w:eastAsia="he-IL"/>
        </w:rPr>
        <w:t xml:space="preserve">אמר בנסיבות תיק זה. כידוע, המשיבה, בתם של הצדדים הינה עורכת דין. לא הוכחש כי היא זו שהכינה את הסכם הגירושין עליו חתם האב מבלי משים, כנראה בתחנת אוטובוס ברחוב, ואף את צוואת המנוחה הכינה הבת, אף שהיא המוטבת העיקרית בה, תוך נישול יורשים אחרים. </w:t>
      </w:r>
      <w:proofErr w:type="spellStart"/>
      <w:r w:rsidRPr="00E9089A">
        <w:rPr>
          <w:rFonts w:ascii="FrankRuehl" w:hAnsi="FrankRuehl"/>
          <w:kern w:val="28"/>
          <w:sz w:val="28"/>
          <w:rtl/>
          <w:lang w:eastAsia="he-IL"/>
        </w:rPr>
        <w:t>ובכגון</w:t>
      </w:r>
      <w:proofErr w:type="spellEnd"/>
      <w:r w:rsidRPr="00E9089A">
        <w:rPr>
          <w:rFonts w:ascii="FrankRuehl" w:hAnsi="FrankRuehl"/>
          <w:kern w:val="28"/>
          <w:sz w:val="28"/>
          <w:rtl/>
          <w:lang w:eastAsia="he-IL"/>
        </w:rPr>
        <w:t xml:space="preserve"> זה, </w:t>
      </w:r>
      <w:proofErr w:type="spellStart"/>
      <w:r w:rsidRPr="00E9089A">
        <w:rPr>
          <w:rFonts w:ascii="FrankRuehl" w:hAnsi="FrankRuehl"/>
          <w:kern w:val="28"/>
          <w:sz w:val="28"/>
          <w:rtl/>
          <w:lang w:eastAsia="he-IL"/>
        </w:rPr>
        <w:t>למיחש</w:t>
      </w:r>
      <w:proofErr w:type="spellEnd"/>
      <w:r w:rsidRPr="00E9089A">
        <w:rPr>
          <w:rFonts w:ascii="FrankRuehl" w:hAnsi="FrankRuehl"/>
          <w:kern w:val="28"/>
          <w:sz w:val="28"/>
          <w:rtl/>
          <w:lang w:eastAsia="he-IL"/>
        </w:rPr>
        <w:t xml:space="preserve"> </w:t>
      </w:r>
      <w:proofErr w:type="spellStart"/>
      <w:r w:rsidRPr="00E9089A">
        <w:rPr>
          <w:rFonts w:ascii="FrankRuehl" w:hAnsi="FrankRuehl"/>
          <w:kern w:val="28"/>
          <w:sz w:val="28"/>
          <w:rtl/>
          <w:lang w:eastAsia="he-IL"/>
        </w:rPr>
        <w:t>מיבעיא</w:t>
      </w:r>
      <w:proofErr w:type="spellEnd"/>
      <w:r w:rsidRPr="00E9089A">
        <w:rPr>
          <w:rFonts w:ascii="FrankRuehl" w:hAnsi="FrankRuehl"/>
          <w:kern w:val="28"/>
          <w:sz w:val="28"/>
          <w:rtl/>
          <w:lang w:eastAsia="he-IL"/>
        </w:rPr>
        <w:t xml:space="preserve"> לדברי חכמים בקידושין דף ע</w:t>
      </w:r>
      <w:r w:rsidR="00E91762">
        <w:rPr>
          <w:rFonts w:ascii="FrankRuehl" w:hAnsi="FrankRuehl" w:hint="cs"/>
          <w:kern w:val="28"/>
          <w:sz w:val="28"/>
          <w:rtl/>
          <w:lang w:eastAsia="he-IL"/>
        </w:rPr>
        <w:t>'</w:t>
      </w:r>
      <w:r w:rsidRPr="00E9089A">
        <w:rPr>
          <w:rFonts w:ascii="FrankRuehl" w:hAnsi="FrankRuehl"/>
          <w:kern w:val="28"/>
          <w:sz w:val="28"/>
          <w:rtl/>
          <w:lang w:eastAsia="he-IL"/>
        </w:rPr>
        <w:t xml:space="preserve">, וד"ל. </w:t>
      </w:r>
    </w:p>
    <w:p w14:paraId="21A2EB38" w14:textId="6FB727E2" w:rsidR="00C97EDD" w:rsidRPr="00F05566" w:rsidRDefault="00FD1F88" w:rsidP="00FD1F88">
      <w:pPr>
        <w:pStyle w:val="-0"/>
        <w:rPr>
          <w:kern w:val="28"/>
          <w:rtl/>
          <w:lang w:eastAsia="he-IL"/>
        </w:rPr>
      </w:pPr>
      <w:r>
        <w:rPr>
          <w:rFonts w:hint="cs"/>
          <w:rtl/>
          <w:lang w:eastAsia="he-IL"/>
        </w:rPr>
        <w:t>הכרעה</w:t>
      </w:r>
    </w:p>
    <w:p w14:paraId="02268236" w14:textId="6081EA82" w:rsidR="00C97EDD" w:rsidRPr="00F05566" w:rsidRDefault="00C97EDD" w:rsidP="006310E4">
      <w:pPr>
        <w:snapToGrid w:val="0"/>
        <w:spacing w:after="120" w:line="276" w:lineRule="auto"/>
        <w:rPr>
          <w:kern w:val="28"/>
          <w:rtl/>
          <w:lang w:eastAsia="he-IL"/>
        </w:rPr>
      </w:pPr>
      <w:r w:rsidRPr="00F05566">
        <w:rPr>
          <w:kern w:val="28"/>
          <w:rtl/>
          <w:lang w:eastAsia="he-IL"/>
        </w:rPr>
        <w:t xml:space="preserve">לאחר שמיעת עמדת שני הקטינים כפי שהובאה לפנינו על ידי </w:t>
      </w:r>
      <w:proofErr w:type="spellStart"/>
      <w:r w:rsidRPr="00F05566">
        <w:rPr>
          <w:kern w:val="28"/>
          <w:rtl/>
          <w:lang w:eastAsia="he-IL"/>
        </w:rPr>
        <w:t>האפוטרופא</w:t>
      </w:r>
      <w:proofErr w:type="spellEnd"/>
      <w:r w:rsidRPr="00F05566">
        <w:rPr>
          <w:kern w:val="28"/>
          <w:rtl/>
          <w:lang w:eastAsia="he-IL"/>
        </w:rPr>
        <w:t xml:space="preserve"> לדין שייצגה אותם נאמנה, אנו דוחים את בקשתה לביטול החלטתנו הקודמת. לפיכך, הסכם הגירושין מבוטל. </w:t>
      </w:r>
    </w:p>
    <w:p w14:paraId="50F393A9" w14:textId="77777777" w:rsidR="002F4215" w:rsidRDefault="00C97EDD" w:rsidP="00E91762">
      <w:pPr>
        <w:snapToGrid w:val="0"/>
        <w:spacing w:after="120" w:line="276" w:lineRule="auto"/>
        <w:ind w:firstLine="397"/>
        <w:rPr>
          <w:rtl/>
        </w:rPr>
      </w:pPr>
      <w:r>
        <w:rPr>
          <w:rFonts w:hint="cs"/>
          <w:rtl/>
        </w:rPr>
        <w:t xml:space="preserve">הערת ביה"ד: </w:t>
      </w:r>
    </w:p>
    <w:p w14:paraId="2A275387" w14:textId="344A7DBE" w:rsidR="00C97EDD" w:rsidRDefault="00C97EDD" w:rsidP="00E91762">
      <w:pPr>
        <w:snapToGrid w:val="0"/>
        <w:spacing w:after="120" w:line="276" w:lineRule="auto"/>
        <w:ind w:firstLine="397"/>
        <w:rPr>
          <w:rtl/>
        </w:rPr>
      </w:pPr>
      <w:r>
        <w:rPr>
          <w:rFonts w:hint="cs"/>
          <w:rtl/>
        </w:rPr>
        <w:t xml:space="preserve">מבחינת ביה"ד, פס"ד זה מסיים את ההליך. ממילא על הצדדים לפעול מידית </w:t>
      </w:r>
      <w:r w:rsidRPr="00E91762">
        <w:rPr>
          <w:rFonts w:hint="cs"/>
          <w:kern w:val="28"/>
          <w:rtl/>
          <w:lang w:eastAsia="he-IL"/>
        </w:rPr>
        <w:t>כהוראת</w:t>
      </w:r>
      <w:r>
        <w:rPr>
          <w:rFonts w:hint="cs"/>
          <w:rtl/>
        </w:rPr>
        <w:t xml:space="preserve"> פסק הדין ולממש את חלק הבעל בדירות. ייתכן שלצורך כך יש צורך במינוי שמאי</w:t>
      </w:r>
      <w:r w:rsidR="002F4215">
        <w:rPr>
          <w:rFonts w:hint="cs"/>
          <w:rtl/>
        </w:rPr>
        <w:t>,</w:t>
      </w:r>
      <w:r>
        <w:rPr>
          <w:rFonts w:hint="cs"/>
          <w:rtl/>
        </w:rPr>
        <w:t xml:space="preserve"> אולם אין צורך במינוי נאמן לניהול הנכס. </w:t>
      </w:r>
    </w:p>
    <w:p w14:paraId="74F3AD39" w14:textId="59B11A0D" w:rsidR="00C97EDD" w:rsidRDefault="00C97EDD" w:rsidP="006310E4">
      <w:pPr>
        <w:pStyle w:val="aff1"/>
        <w:rPr>
          <w:rtl/>
        </w:rPr>
      </w:pPr>
      <w:r w:rsidRPr="00FD1F88">
        <w:rPr>
          <w:rFonts w:hint="cs"/>
          <w:rtl/>
          <w:lang w:eastAsia="he-IL"/>
        </w:rPr>
        <w:t xml:space="preserve">הרב אריה אוריאל </w:t>
      </w:r>
      <w:r w:rsidR="006310E4">
        <w:rPr>
          <w:rFonts w:hint="cs"/>
          <w:rtl/>
          <w:lang w:eastAsia="he-IL"/>
        </w:rPr>
        <w:t>-</w:t>
      </w:r>
      <w:r w:rsidRPr="00FD1F88">
        <w:rPr>
          <w:rFonts w:hint="cs"/>
          <w:rtl/>
          <w:lang w:eastAsia="he-IL"/>
        </w:rPr>
        <w:t xml:space="preserve"> </w:t>
      </w:r>
      <w:r w:rsidR="00073690">
        <w:rPr>
          <w:rFonts w:hint="cs"/>
          <w:rtl/>
          <w:lang w:eastAsia="he-IL"/>
        </w:rPr>
        <w:t>יו"ר</w:t>
      </w:r>
    </w:p>
    <w:p w14:paraId="6DAE7F4C" w14:textId="77777777" w:rsidR="006310E4" w:rsidRDefault="006310E4" w:rsidP="00E91762">
      <w:pPr>
        <w:snapToGrid w:val="0"/>
        <w:spacing w:after="120" w:line="276" w:lineRule="auto"/>
        <w:ind w:firstLine="397"/>
        <w:rPr>
          <w:rtl/>
        </w:rPr>
      </w:pPr>
    </w:p>
    <w:p w14:paraId="43495C0B" w14:textId="5E9DFAE1" w:rsidR="00C97EDD" w:rsidRDefault="00C97EDD" w:rsidP="00E91762">
      <w:pPr>
        <w:snapToGrid w:val="0"/>
        <w:spacing w:after="120" w:line="276" w:lineRule="auto"/>
        <w:ind w:firstLine="397"/>
        <w:rPr>
          <w:rtl/>
        </w:rPr>
      </w:pPr>
      <w:r>
        <w:rPr>
          <w:rFonts w:hint="cs"/>
          <w:rtl/>
        </w:rPr>
        <w:t>מצטרפים למסקנות</w:t>
      </w:r>
    </w:p>
    <w:p w14:paraId="43F525CB" w14:textId="7D595376" w:rsidR="00C97EDD" w:rsidRPr="006310E4" w:rsidRDefault="00C97EDD" w:rsidP="006310E4">
      <w:pPr>
        <w:pStyle w:val="aff1"/>
        <w:rPr>
          <w:rtl/>
        </w:rPr>
      </w:pPr>
      <w:r w:rsidRPr="006310E4">
        <w:rPr>
          <w:rFonts w:hint="cs"/>
          <w:rtl/>
        </w:rPr>
        <w:t xml:space="preserve">הרב נפתלי </w:t>
      </w:r>
      <w:proofErr w:type="spellStart"/>
      <w:r w:rsidRPr="006310E4">
        <w:rPr>
          <w:rFonts w:hint="cs"/>
          <w:rtl/>
        </w:rPr>
        <w:t>הייזלר</w:t>
      </w:r>
      <w:proofErr w:type="spellEnd"/>
      <w:r w:rsidR="00E91762" w:rsidRPr="006310E4">
        <w:rPr>
          <w:rtl/>
        </w:rPr>
        <w:tab/>
      </w:r>
      <w:r w:rsidRPr="006310E4">
        <w:rPr>
          <w:rFonts w:hint="cs"/>
          <w:rtl/>
        </w:rPr>
        <w:t xml:space="preserve">הרב בן ציון טופיק </w:t>
      </w:r>
      <w:sdt>
        <w:sdtPr>
          <w:rPr>
            <w:rFonts w:hint="cs"/>
            <w:rtl/>
          </w:rPr>
          <w:alias w:val="DecisionAllowedPublish"/>
          <w:tag w:val="DecisionAllowedPublish"/>
          <w:id w:val="-958026483"/>
          <w:placeholder>
            <w:docPart w:val="16D97E9228034249B54050DEE71AD3E7"/>
          </w:placeholder>
          <w:text w:multiLine="1"/>
        </w:sdtPr>
        <w:sdtContent>
          <w:r w:rsidRPr="006310E4">
            <w:rPr>
              <w:rFonts w:hint="cs"/>
              <w:rtl/>
            </w:rPr>
            <w:t xml:space="preserve"> </w:t>
          </w:r>
        </w:sdtContent>
      </w:sdt>
    </w:p>
    <w:p w14:paraId="44760B9F" w14:textId="77777777" w:rsidR="006310E4" w:rsidRDefault="006310E4" w:rsidP="00E91762">
      <w:pPr>
        <w:snapToGrid w:val="0"/>
        <w:spacing w:after="120" w:line="276" w:lineRule="auto"/>
        <w:ind w:firstLine="397"/>
        <w:rPr>
          <w:rtl/>
        </w:rPr>
      </w:pPr>
    </w:p>
    <w:p w14:paraId="56E7A10E" w14:textId="5A568696" w:rsidR="00C97EDD" w:rsidRPr="002D35CA" w:rsidRDefault="00C97EDD" w:rsidP="00E91762">
      <w:pPr>
        <w:snapToGrid w:val="0"/>
        <w:spacing w:after="120" w:line="276" w:lineRule="auto"/>
        <w:ind w:firstLine="397"/>
        <w:rPr>
          <w:sz w:val="24"/>
          <w:szCs w:val="24"/>
          <w:rtl/>
        </w:rPr>
      </w:pPr>
      <w:r w:rsidRPr="00E91762">
        <w:rPr>
          <w:rFonts w:hint="cs"/>
          <w:rtl/>
        </w:rPr>
        <w:t>ניתן</w:t>
      </w:r>
      <w:r w:rsidRPr="007406B6">
        <w:rPr>
          <w:rFonts w:hint="cs"/>
          <w:sz w:val="28"/>
          <w:rtl/>
        </w:rPr>
        <w:t xml:space="preserve"> ביום </w:t>
      </w:r>
      <w:sdt>
        <w:sdtPr>
          <w:rPr>
            <w:sz w:val="28"/>
            <w:rtl/>
          </w:rPr>
          <w:alias w:val="SignatureHebDate"/>
          <w:tag w:val="SignatureHebDate"/>
          <w:id w:val="333033048"/>
          <w:placeholder>
            <w:docPart w:val="D5F747F7E1B54828BDF35EAEFE06A9E5"/>
          </w:placeholder>
        </w:sdtPr>
        <w:sdtContent>
          <w:r>
            <w:rPr>
              <w:sz w:val="28"/>
              <w:rtl/>
            </w:rPr>
            <w:t xml:space="preserve">כ"ז באייר </w:t>
          </w:r>
          <w:proofErr w:type="spellStart"/>
          <w:r>
            <w:rPr>
              <w:sz w:val="28"/>
              <w:rtl/>
            </w:rPr>
            <w:t>התשפ"ו</w:t>
          </w:r>
          <w:proofErr w:type="spellEnd"/>
        </w:sdtContent>
      </w:sdt>
      <w:r w:rsidRPr="007406B6">
        <w:rPr>
          <w:rFonts w:hint="cs"/>
          <w:sz w:val="28"/>
          <w:rtl/>
        </w:rPr>
        <w:t xml:space="preserve"> </w:t>
      </w:r>
      <w:r w:rsidRPr="006310E4">
        <w:rPr>
          <w:rFonts w:hint="cs"/>
          <w:sz w:val="24"/>
          <w:szCs w:val="24"/>
          <w:rtl/>
        </w:rPr>
        <w:t>(</w:t>
      </w:r>
      <w:sdt>
        <w:sdtPr>
          <w:rPr>
            <w:sz w:val="24"/>
            <w:szCs w:val="24"/>
            <w:rtl/>
          </w:rPr>
          <w:alias w:val="SignatureDate"/>
          <w:tag w:val="SignatureDate"/>
          <w:id w:val="-411708249"/>
          <w:placeholder>
            <w:docPart w:val="5790816245F4483083EDD0820865C0C8"/>
          </w:placeholder>
        </w:sdtPr>
        <w:sdtContent>
          <w:r w:rsidRPr="006310E4">
            <w:rPr>
              <w:sz w:val="24"/>
              <w:szCs w:val="24"/>
              <w:rtl/>
            </w:rPr>
            <w:t>14/05/2026</w:t>
          </w:r>
        </w:sdtContent>
      </w:sdt>
      <w:r w:rsidRPr="006310E4">
        <w:rPr>
          <w:rFonts w:hint="cs"/>
          <w:sz w:val="24"/>
          <w:szCs w:val="24"/>
          <w:rtl/>
        </w:rPr>
        <w:t>).</w:t>
      </w:r>
      <w:bookmarkStart w:id="2" w:name="WillDocument"/>
      <w:bookmarkEnd w:id="2"/>
    </w:p>
    <w:tbl>
      <w:tblPr>
        <w:tblStyle w:val="TableGrid1"/>
        <w:bidiVisual/>
        <w:tblW w:w="84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6"/>
        <w:gridCol w:w="2954"/>
        <w:gridCol w:w="2552"/>
      </w:tblGrid>
      <w:tr w:rsidR="00C97EDD" w:rsidRPr="0061526B" w14:paraId="28C5E36F" w14:textId="77777777" w:rsidTr="00B35FDD">
        <w:trPr>
          <w:trHeight w:val="291"/>
          <w:jc w:val="center"/>
        </w:trPr>
        <w:tc>
          <w:tcPr>
            <w:tcW w:w="2946" w:type="dxa"/>
          </w:tcPr>
          <w:p w14:paraId="0F1A7001" w14:textId="52D78A7B" w:rsidR="00C97EDD" w:rsidRPr="0061526B" w:rsidRDefault="00C97EDD" w:rsidP="00FD1F88">
            <w:pPr>
              <w:ind w:right="-459"/>
              <w:rPr>
                <w:rFonts w:cs="David"/>
                <w:sz w:val="40"/>
                <w:szCs w:val="24"/>
                <w:rtl/>
              </w:rPr>
            </w:pPr>
          </w:p>
        </w:tc>
        <w:sdt>
          <w:sdtPr>
            <w:rPr>
              <w:sz w:val="40"/>
              <w:rtl/>
            </w:rPr>
            <w:tag w:val="Judge1Signature"/>
            <w:id w:val="368939589"/>
            <w:placeholder>
              <w:docPart w:val="56BA2F48056D4B60AEC90981693DCEEA"/>
            </w:placeholder>
          </w:sdtPr>
          <w:sdtContent>
            <w:tc>
              <w:tcPr>
                <w:tcW w:w="2954" w:type="dxa"/>
              </w:tcPr>
              <w:p w14:paraId="044788A5" w14:textId="2B72FD63" w:rsidR="00C97EDD" w:rsidRPr="0061526B" w:rsidRDefault="00C97EDD" w:rsidP="00B35FDD">
                <w:pPr>
                  <w:ind w:right="-459"/>
                  <w:jc w:val="center"/>
                  <w:rPr>
                    <w:rFonts w:cs="David"/>
                    <w:sz w:val="40"/>
                    <w:szCs w:val="24"/>
                    <w:rtl/>
                  </w:rPr>
                </w:pPr>
                <w:r w:rsidRPr="0061526B">
                  <w:rPr>
                    <w:rFonts w:hint="cs"/>
                    <w:sz w:val="40"/>
                    <w:rtl/>
                  </w:rPr>
                  <w:t xml:space="preserve"> </w:t>
                </w:r>
              </w:p>
            </w:tc>
          </w:sdtContent>
        </w:sdt>
        <w:sdt>
          <w:sdtPr>
            <w:rPr>
              <w:sz w:val="40"/>
              <w:rtl/>
            </w:rPr>
            <w:tag w:val="Judge2Signature"/>
            <w:id w:val="368939592"/>
            <w:placeholder>
              <w:docPart w:val="F841871D9BFC4D458DB6A4A97D3E3852"/>
            </w:placeholder>
          </w:sdtPr>
          <w:sdtContent>
            <w:tc>
              <w:tcPr>
                <w:tcW w:w="2552" w:type="dxa"/>
              </w:tcPr>
              <w:p w14:paraId="4751D0D9" w14:textId="756F91D5" w:rsidR="00C97EDD" w:rsidRPr="0061526B" w:rsidRDefault="00C97EDD" w:rsidP="00B35FDD">
                <w:pPr>
                  <w:ind w:right="-459"/>
                  <w:jc w:val="center"/>
                  <w:rPr>
                    <w:rFonts w:cs="David"/>
                    <w:sz w:val="40"/>
                    <w:szCs w:val="24"/>
                    <w:rtl/>
                  </w:rPr>
                </w:pPr>
                <w:r w:rsidRPr="0061526B">
                  <w:rPr>
                    <w:rFonts w:hint="cs"/>
                    <w:sz w:val="40"/>
                    <w:rtl/>
                  </w:rPr>
                  <w:t xml:space="preserve"> </w:t>
                </w:r>
              </w:p>
            </w:tc>
          </w:sdtContent>
        </w:sdt>
      </w:tr>
      <w:tr w:rsidR="00C97EDD" w:rsidRPr="0061526B" w14:paraId="76352BC4" w14:textId="77777777" w:rsidTr="00B35FDD">
        <w:trPr>
          <w:trHeight w:val="274"/>
          <w:jc w:val="center"/>
        </w:trPr>
        <w:tc>
          <w:tcPr>
            <w:tcW w:w="2946" w:type="dxa"/>
          </w:tcPr>
          <w:p w14:paraId="4AB2E18E" w14:textId="16712A8B" w:rsidR="00C97EDD" w:rsidRPr="006310E4" w:rsidRDefault="00C97EDD" w:rsidP="006310E4">
            <w:pPr>
              <w:pStyle w:val="aff1"/>
              <w:rPr>
                <w:rtl/>
              </w:rPr>
            </w:pPr>
            <w:r w:rsidRPr="006310E4">
              <w:rPr>
                <w:rFonts w:hint="cs"/>
                <w:rtl/>
              </w:rPr>
              <w:t>הרב אריה אוריאל</w:t>
            </w:r>
            <w:r w:rsidR="00FD1F88" w:rsidRPr="006310E4">
              <w:rPr>
                <w:rFonts w:hint="cs"/>
                <w:rtl/>
              </w:rPr>
              <w:t xml:space="preserve"> </w:t>
            </w:r>
            <w:r w:rsidR="006310E4" w:rsidRPr="006310E4">
              <w:rPr>
                <w:rFonts w:hint="cs"/>
                <w:rtl/>
              </w:rPr>
              <w:t>-</w:t>
            </w:r>
            <w:r w:rsidR="00FD1F88" w:rsidRPr="006310E4">
              <w:rPr>
                <w:rFonts w:hint="cs"/>
                <w:rtl/>
              </w:rPr>
              <w:t xml:space="preserve"> יו"ר</w:t>
            </w:r>
          </w:p>
        </w:tc>
        <w:sdt>
          <w:sdtPr>
            <w:rPr>
              <w:rtl/>
            </w:rPr>
            <w:tag w:val="Judge1"/>
            <w:id w:val="281399695"/>
            <w:placeholder>
              <w:docPart w:val="EAA158870FE34206A436AB73277F3529"/>
            </w:placeholder>
            <w:temporary/>
          </w:sdtPr>
          <w:sdtContent>
            <w:tc>
              <w:tcPr>
                <w:tcW w:w="2954" w:type="dxa"/>
              </w:tcPr>
              <w:p w14:paraId="4B83E252" w14:textId="77777777" w:rsidR="00C97EDD" w:rsidRPr="006310E4" w:rsidRDefault="00C97EDD" w:rsidP="006310E4">
                <w:pPr>
                  <w:pStyle w:val="aff1"/>
                  <w:rPr>
                    <w:rtl/>
                  </w:rPr>
                </w:pPr>
                <w:r w:rsidRPr="006310E4">
                  <w:rPr>
                    <w:rFonts w:hint="cs"/>
                    <w:rtl/>
                  </w:rPr>
                  <w:t xml:space="preserve">הרב נפתלי </w:t>
                </w:r>
                <w:proofErr w:type="spellStart"/>
                <w:r w:rsidRPr="006310E4">
                  <w:rPr>
                    <w:rFonts w:hint="cs"/>
                    <w:rtl/>
                  </w:rPr>
                  <w:t>הייזלר</w:t>
                </w:r>
                <w:proofErr w:type="spellEnd"/>
              </w:p>
            </w:tc>
          </w:sdtContent>
        </w:sdt>
        <w:sdt>
          <w:sdtPr>
            <w:rPr>
              <w:rtl/>
            </w:rPr>
            <w:tag w:val="Judge2"/>
            <w:id w:val="281399688"/>
            <w:placeholder>
              <w:docPart w:val="EAA158870FE34206A436AB73277F3529"/>
            </w:placeholder>
            <w:temporary/>
          </w:sdtPr>
          <w:sdtContent>
            <w:tc>
              <w:tcPr>
                <w:tcW w:w="2552" w:type="dxa"/>
              </w:tcPr>
              <w:p w14:paraId="1D8E468C" w14:textId="77777777" w:rsidR="00C97EDD" w:rsidRPr="006310E4" w:rsidRDefault="00C97EDD" w:rsidP="006310E4">
                <w:pPr>
                  <w:pStyle w:val="aff1"/>
                  <w:rPr>
                    <w:rtl/>
                  </w:rPr>
                </w:pPr>
                <w:r w:rsidRPr="006310E4">
                  <w:rPr>
                    <w:rFonts w:hint="cs"/>
                    <w:rtl/>
                  </w:rPr>
                  <w:t>הרב בן ציון טופיק</w:t>
                </w:r>
              </w:p>
            </w:tc>
          </w:sdtContent>
        </w:sdt>
      </w:tr>
    </w:tbl>
    <w:p w14:paraId="70DD0645" w14:textId="77777777" w:rsidR="00C97EDD" w:rsidRPr="00A86E38" w:rsidRDefault="00000000" w:rsidP="00C97EDD">
      <w:pPr>
        <w:pStyle w:val="af"/>
        <w:ind w:firstLine="0"/>
        <w:rPr>
          <w:rtl/>
          <w:lang w:eastAsia="he-IL"/>
        </w:rPr>
      </w:pPr>
      <w:sdt>
        <w:sdtPr>
          <w:rPr>
            <w:color w:val="808080"/>
            <w:sz w:val="24"/>
            <w:szCs w:val="24"/>
            <w:rtl/>
          </w:rPr>
          <w:alias w:val="GeneralSignature"/>
          <w:tag w:val="GeneralSignature"/>
          <w:id w:val="368939595"/>
          <w:placeholder>
            <w:docPart w:val="0FC2702BD0C849B2AE42CF0C5E4FEEB8"/>
          </w:placeholder>
        </w:sdtPr>
        <w:sdtContent>
          <w:r w:rsidR="00C97EDD">
            <w:rPr>
              <w:color w:val="808080"/>
              <w:sz w:val="24"/>
              <w:szCs w:val="24"/>
            </w:rPr>
            <w:t xml:space="preserve"> </w:t>
          </w:r>
        </w:sdtContent>
      </w:sdt>
    </w:p>
    <w:p w14:paraId="71C11029" w14:textId="146D199F" w:rsidR="00297169" w:rsidRDefault="00FD1F88" w:rsidP="00641C31">
      <w:pPr>
        <w:rPr>
          <w:color w:val="7F7F7F" w:themeColor="text1" w:themeTint="80"/>
          <w:rtl/>
          <w:lang w:eastAsia="he-IL"/>
        </w:rPr>
      </w:pPr>
      <w:r>
        <w:rPr>
          <w:rFonts w:hint="cs"/>
          <w:color w:val="7F7F7F" w:themeColor="text1" w:themeTint="80"/>
          <w:rtl/>
          <w:lang w:eastAsia="he-IL"/>
        </w:rPr>
        <w:t>ע</w:t>
      </w:r>
      <w:r w:rsidR="0029323C" w:rsidRPr="001E50C8">
        <w:rPr>
          <w:rFonts w:hint="cs"/>
          <w:color w:val="7F7F7F" w:themeColor="text1" w:themeTint="80"/>
          <w:rtl/>
          <w:lang w:eastAsia="he-IL"/>
        </w:rPr>
        <w:t>ותק זה עשוי להכיל שינויי עריכה</w:t>
      </w:r>
    </w:p>
    <w:p w14:paraId="2C311F3E" w14:textId="77777777" w:rsidR="00297169" w:rsidRPr="00297169" w:rsidRDefault="00297169" w:rsidP="00297169">
      <w:pPr>
        <w:rPr>
          <w:rtl/>
          <w:lang w:eastAsia="he-IL"/>
        </w:rPr>
      </w:pPr>
    </w:p>
    <w:p w14:paraId="1F1F189E" w14:textId="7388633D" w:rsidR="00297169" w:rsidRDefault="00297169" w:rsidP="00297169">
      <w:pPr>
        <w:rPr>
          <w:rtl/>
          <w:lang w:eastAsia="he-IL"/>
        </w:rPr>
      </w:pPr>
    </w:p>
    <w:p w14:paraId="52541392" w14:textId="7E7F9DFA" w:rsidR="00641C31" w:rsidRPr="00297169" w:rsidRDefault="00297169" w:rsidP="00297169">
      <w:pPr>
        <w:tabs>
          <w:tab w:val="left" w:pos="7286"/>
        </w:tabs>
        <w:rPr>
          <w:rtl/>
          <w:lang w:eastAsia="he-IL"/>
        </w:rPr>
      </w:pPr>
      <w:r>
        <w:rPr>
          <w:rtl/>
          <w:lang w:eastAsia="he-IL"/>
        </w:rPr>
        <w:tab/>
      </w:r>
      <w:bookmarkEnd w:id="0"/>
    </w:p>
    <w:sectPr w:rsidR="00641C31" w:rsidRPr="00297169" w:rsidSect="00ED4071">
      <w:headerReference w:type="default" r:id="rId17"/>
      <w:footerReference w:type="default" r:id="rId1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EC831" w14:textId="77777777" w:rsidR="00776760" w:rsidRDefault="00776760" w:rsidP="00E2756A">
      <w:r>
        <w:separator/>
      </w:r>
    </w:p>
  </w:endnote>
  <w:endnote w:type="continuationSeparator" w:id="0">
    <w:p w14:paraId="3C8CD59C" w14:textId="77777777" w:rsidR="00776760" w:rsidRDefault="00776760" w:rsidP="00E27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766914458"/>
      <w:docPartObj>
        <w:docPartGallery w:val="Page Numbers (Bottom of Page)"/>
        <w:docPartUnique/>
      </w:docPartObj>
    </w:sdtPr>
    <w:sdtContent>
      <w:p w14:paraId="440B0804" w14:textId="77777777" w:rsidR="003E5CC1" w:rsidRDefault="003E5CC1" w:rsidP="00F4312B">
        <w:pPr>
          <w:pStyle w:val="aff5"/>
          <w:jc w:val="center"/>
        </w:pPr>
        <w:r>
          <w:fldChar w:fldCharType="begin"/>
        </w:r>
        <w:r>
          <w:rPr>
            <w:rtl/>
            <w:cs/>
          </w:rPr>
          <w:instrText>PAGE   \* MERGEFORMAT</w:instrText>
        </w:r>
        <w:r>
          <w:fldChar w:fldCharType="separate"/>
        </w:r>
        <w:r w:rsidR="00D02377" w:rsidRPr="00D02377">
          <w:rPr>
            <w:noProof/>
            <w:rtl/>
            <w:lang w:val="he-IL"/>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158AB" w14:textId="77777777" w:rsidR="00776760" w:rsidRDefault="00776760" w:rsidP="00E2756A">
      <w:r>
        <w:separator/>
      </w:r>
    </w:p>
  </w:footnote>
  <w:footnote w:type="continuationSeparator" w:id="0">
    <w:p w14:paraId="2FE6B8E1" w14:textId="77777777" w:rsidR="00776760" w:rsidRDefault="00776760" w:rsidP="00E27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9A60A" w14:textId="77777777" w:rsidR="003E5CC1" w:rsidRDefault="003E5CC1" w:rsidP="00FA1DAB">
    <w:pPr>
      <w:pStyle w:val="aff3"/>
      <w:rPr>
        <w:rFonts w:cs="David"/>
        <w:b/>
        <w:bCs/>
        <w:color w:val="1F497D" w:themeColor="text2"/>
        <w:sz w:val="52"/>
        <w:szCs w:val="52"/>
        <w:rtl/>
      </w:rPr>
    </w:pPr>
    <w:r>
      <w:rPr>
        <w:rFonts w:cs="David" w:hint="cs"/>
        <w:b/>
        <w:bCs/>
        <w:color w:val="1F497D" w:themeColor="text2"/>
        <w:sz w:val="52"/>
        <w:szCs w:val="52"/>
        <w:rtl/>
      </w:rPr>
      <w:tab/>
    </w:r>
    <w:r w:rsidRPr="000F286C">
      <w:rPr>
        <w:rFonts w:cs="David" w:hint="cs"/>
        <w:b/>
        <w:bCs/>
        <w:color w:val="1F497D" w:themeColor="text2"/>
        <w:sz w:val="52"/>
        <w:szCs w:val="52"/>
        <w:rtl/>
      </w:rPr>
      <w:t>מדינת ישראל</w:t>
    </w:r>
  </w:p>
  <w:p w14:paraId="67C3C6F1" w14:textId="77777777" w:rsidR="003E5CC1" w:rsidRDefault="003E5CC1" w:rsidP="00FA1DAB">
    <w:pPr>
      <w:pStyle w:val="aff3"/>
      <w:jc w:val="center"/>
      <w:rPr>
        <w:rFonts w:cs="David"/>
        <w:b/>
        <w:bCs/>
        <w:color w:val="1F497D" w:themeColor="text2"/>
        <w:sz w:val="32"/>
        <w:szCs w:val="32"/>
      </w:rPr>
    </w:pPr>
    <w:r>
      <w:rPr>
        <w:rFonts w:cs="David" w:hint="cs"/>
        <w:b/>
        <w:bCs/>
        <w:color w:val="1F497D" w:themeColor="text2"/>
        <w:sz w:val="32"/>
        <w:szCs w:val="32"/>
        <w:rtl/>
      </w:rPr>
      <w:t>בתי הדין הרבניים</w:t>
    </w:r>
  </w:p>
  <w:p w14:paraId="5CB3E863" w14:textId="77777777" w:rsidR="003E5CC1" w:rsidRDefault="003E5CC1">
    <w:pPr>
      <w:pStyle w:val="af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97845"/>
    <w:multiLevelType w:val="hybridMultilevel"/>
    <w:tmpl w:val="056A0F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FC3421"/>
    <w:multiLevelType w:val="hybridMultilevel"/>
    <w:tmpl w:val="0F3EFFF4"/>
    <w:lvl w:ilvl="0" w:tplc="B0DED0D4">
      <w:start w:val="1"/>
      <w:numFmt w:val="hebrew1"/>
      <w:lvlText w:val="%1."/>
      <w:lvlJc w:val="left"/>
      <w:pPr>
        <w:ind w:left="757" w:hanging="360"/>
      </w:pPr>
      <w:rPr>
        <w:sz w:val="28"/>
      </w:r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start w:val="1"/>
      <w:numFmt w:val="decimal"/>
      <w:lvlText w:val="%4."/>
      <w:lvlJc w:val="left"/>
      <w:pPr>
        <w:ind w:left="2917" w:hanging="360"/>
      </w:pPr>
    </w:lvl>
    <w:lvl w:ilvl="4" w:tplc="04090019">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start w:val="1"/>
      <w:numFmt w:val="lowerLetter"/>
      <w:lvlText w:val="%8."/>
      <w:lvlJc w:val="left"/>
      <w:pPr>
        <w:ind w:left="5797" w:hanging="360"/>
      </w:pPr>
    </w:lvl>
    <w:lvl w:ilvl="8" w:tplc="0409001B">
      <w:start w:val="1"/>
      <w:numFmt w:val="lowerRoman"/>
      <w:lvlText w:val="%9."/>
      <w:lvlJc w:val="right"/>
      <w:pPr>
        <w:ind w:left="6517" w:hanging="180"/>
      </w:pPr>
    </w:lvl>
  </w:abstractNum>
  <w:abstractNum w:abstractNumId="2" w15:restartNumberingAfterBreak="0">
    <w:nsid w:val="11A93AEA"/>
    <w:multiLevelType w:val="hybridMultilevel"/>
    <w:tmpl w:val="D32268AC"/>
    <w:lvl w:ilvl="0" w:tplc="52F037C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2A32026"/>
    <w:multiLevelType w:val="hybridMultilevel"/>
    <w:tmpl w:val="D7C2D248"/>
    <w:lvl w:ilvl="0" w:tplc="4A52AF68">
      <w:start w:val="1"/>
      <w:numFmt w:val="hebrew1"/>
      <w:lvlText w:val="%1)"/>
      <w:lvlJc w:val="left"/>
      <w:pPr>
        <w:ind w:left="19" w:hanging="360"/>
      </w:pPr>
      <w:rPr>
        <w:rFonts w:hint="default"/>
      </w:rPr>
    </w:lvl>
    <w:lvl w:ilvl="1" w:tplc="04090019" w:tentative="1">
      <w:start w:val="1"/>
      <w:numFmt w:val="lowerLetter"/>
      <w:lvlText w:val="%2."/>
      <w:lvlJc w:val="left"/>
      <w:pPr>
        <w:ind w:left="739" w:hanging="360"/>
      </w:pPr>
    </w:lvl>
    <w:lvl w:ilvl="2" w:tplc="0409001B" w:tentative="1">
      <w:start w:val="1"/>
      <w:numFmt w:val="lowerRoman"/>
      <w:lvlText w:val="%3."/>
      <w:lvlJc w:val="right"/>
      <w:pPr>
        <w:ind w:left="1459" w:hanging="180"/>
      </w:pPr>
    </w:lvl>
    <w:lvl w:ilvl="3" w:tplc="0409000F" w:tentative="1">
      <w:start w:val="1"/>
      <w:numFmt w:val="decimal"/>
      <w:lvlText w:val="%4."/>
      <w:lvlJc w:val="left"/>
      <w:pPr>
        <w:ind w:left="2179" w:hanging="360"/>
      </w:pPr>
    </w:lvl>
    <w:lvl w:ilvl="4" w:tplc="04090019" w:tentative="1">
      <w:start w:val="1"/>
      <w:numFmt w:val="lowerLetter"/>
      <w:lvlText w:val="%5."/>
      <w:lvlJc w:val="left"/>
      <w:pPr>
        <w:ind w:left="2899" w:hanging="360"/>
      </w:pPr>
    </w:lvl>
    <w:lvl w:ilvl="5" w:tplc="0409001B" w:tentative="1">
      <w:start w:val="1"/>
      <w:numFmt w:val="lowerRoman"/>
      <w:lvlText w:val="%6."/>
      <w:lvlJc w:val="right"/>
      <w:pPr>
        <w:ind w:left="3619" w:hanging="180"/>
      </w:pPr>
    </w:lvl>
    <w:lvl w:ilvl="6" w:tplc="0409000F" w:tentative="1">
      <w:start w:val="1"/>
      <w:numFmt w:val="decimal"/>
      <w:lvlText w:val="%7."/>
      <w:lvlJc w:val="left"/>
      <w:pPr>
        <w:ind w:left="4339" w:hanging="360"/>
      </w:pPr>
    </w:lvl>
    <w:lvl w:ilvl="7" w:tplc="04090019" w:tentative="1">
      <w:start w:val="1"/>
      <w:numFmt w:val="lowerLetter"/>
      <w:lvlText w:val="%8."/>
      <w:lvlJc w:val="left"/>
      <w:pPr>
        <w:ind w:left="5059" w:hanging="360"/>
      </w:pPr>
    </w:lvl>
    <w:lvl w:ilvl="8" w:tplc="0409001B" w:tentative="1">
      <w:start w:val="1"/>
      <w:numFmt w:val="lowerRoman"/>
      <w:lvlText w:val="%9."/>
      <w:lvlJc w:val="right"/>
      <w:pPr>
        <w:ind w:left="5779" w:hanging="180"/>
      </w:pPr>
    </w:lvl>
  </w:abstractNum>
  <w:abstractNum w:abstractNumId="4" w15:restartNumberingAfterBreak="0">
    <w:nsid w:val="1C2A206A"/>
    <w:multiLevelType w:val="hybridMultilevel"/>
    <w:tmpl w:val="2AAEB458"/>
    <w:lvl w:ilvl="0" w:tplc="105627B8">
      <w:start w:val="1"/>
      <w:numFmt w:val="hebrew1"/>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5" w15:restartNumberingAfterBreak="0">
    <w:nsid w:val="203C50D8"/>
    <w:multiLevelType w:val="multilevel"/>
    <w:tmpl w:val="CA42D256"/>
    <w:lvl w:ilvl="0">
      <w:start w:val="1"/>
      <w:numFmt w:val="hebrew1"/>
      <w:pStyle w:val="a"/>
      <w:lvlText w:val="%1."/>
      <w:lvlJc w:val="left"/>
      <w:pPr>
        <w:ind w:left="646" w:hanging="362"/>
      </w:pPr>
      <w:rPr>
        <w:rFonts w:hint="default"/>
      </w:rPr>
    </w:lvl>
    <w:lvl w:ilvl="1">
      <w:start w:val="1"/>
      <w:numFmt w:val="decimal"/>
      <w:lvlText w:val="(%2)"/>
      <w:lvlJc w:val="left"/>
      <w:pPr>
        <w:ind w:left="930" w:hanging="362"/>
      </w:pPr>
      <w:rPr>
        <w:rFonts w:cs="FrankRuehl" w:hint="cs"/>
        <w:szCs w:val="26"/>
      </w:rPr>
    </w:lvl>
    <w:lvl w:ilvl="2">
      <w:start w:val="1"/>
      <w:numFmt w:val="hebrew1"/>
      <w:lvlText w:val="(%3)"/>
      <w:lvlJc w:val="left"/>
      <w:pPr>
        <w:ind w:left="1214" w:hanging="362"/>
      </w:pPr>
      <w:rPr>
        <w:rFonts w:hint="default"/>
      </w:rPr>
    </w:lvl>
    <w:lvl w:ilvl="3">
      <w:start w:val="1"/>
      <w:numFmt w:val="decimal"/>
      <w:lvlText w:val="%4."/>
      <w:lvlJc w:val="left"/>
      <w:pPr>
        <w:ind w:left="1498" w:hanging="362"/>
      </w:pPr>
      <w:rPr>
        <w:rFonts w:hint="default"/>
      </w:rPr>
    </w:lvl>
    <w:lvl w:ilvl="4">
      <w:start w:val="1"/>
      <w:numFmt w:val="lowerLetter"/>
      <w:lvlText w:val="%5."/>
      <w:lvlJc w:val="left"/>
      <w:pPr>
        <w:ind w:left="1782" w:hanging="362"/>
      </w:pPr>
      <w:rPr>
        <w:rFonts w:hint="default"/>
      </w:rPr>
    </w:lvl>
    <w:lvl w:ilvl="5">
      <w:start w:val="1"/>
      <w:numFmt w:val="lowerRoman"/>
      <w:lvlText w:val="%6."/>
      <w:lvlJc w:val="right"/>
      <w:pPr>
        <w:ind w:left="2066" w:hanging="362"/>
      </w:pPr>
      <w:rPr>
        <w:rFonts w:hint="default"/>
      </w:rPr>
    </w:lvl>
    <w:lvl w:ilvl="6">
      <w:start w:val="1"/>
      <w:numFmt w:val="decimal"/>
      <w:lvlText w:val="%7."/>
      <w:lvlJc w:val="left"/>
      <w:pPr>
        <w:ind w:left="2350" w:hanging="362"/>
      </w:pPr>
      <w:rPr>
        <w:rFonts w:hint="default"/>
      </w:rPr>
    </w:lvl>
    <w:lvl w:ilvl="7">
      <w:start w:val="1"/>
      <w:numFmt w:val="lowerLetter"/>
      <w:lvlText w:val="%8."/>
      <w:lvlJc w:val="left"/>
      <w:pPr>
        <w:ind w:left="2634" w:hanging="362"/>
      </w:pPr>
      <w:rPr>
        <w:rFonts w:hint="default"/>
      </w:rPr>
    </w:lvl>
    <w:lvl w:ilvl="8">
      <w:start w:val="1"/>
      <w:numFmt w:val="lowerRoman"/>
      <w:lvlText w:val="%9."/>
      <w:lvlJc w:val="right"/>
      <w:pPr>
        <w:ind w:left="2918" w:hanging="362"/>
      </w:pPr>
      <w:rPr>
        <w:rFonts w:hint="default"/>
      </w:rPr>
    </w:lvl>
  </w:abstractNum>
  <w:abstractNum w:abstractNumId="6" w15:restartNumberingAfterBreak="0">
    <w:nsid w:val="247B32DD"/>
    <w:multiLevelType w:val="hybridMultilevel"/>
    <w:tmpl w:val="E616617E"/>
    <w:lvl w:ilvl="0" w:tplc="AC28E724">
      <w:start w:val="1"/>
      <w:numFmt w:val="hebrew1"/>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7" w15:restartNumberingAfterBreak="0">
    <w:nsid w:val="247B4D06"/>
    <w:multiLevelType w:val="hybridMultilevel"/>
    <w:tmpl w:val="587C1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BA6610"/>
    <w:multiLevelType w:val="hybridMultilevel"/>
    <w:tmpl w:val="7FC8C1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D0193B"/>
    <w:multiLevelType w:val="hybridMultilevel"/>
    <w:tmpl w:val="926232AA"/>
    <w:lvl w:ilvl="0" w:tplc="2DC4434E">
      <w:start w:val="1"/>
      <w:numFmt w:val="hebrew1"/>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30667B78"/>
    <w:multiLevelType w:val="hybridMultilevel"/>
    <w:tmpl w:val="D0B686A4"/>
    <w:lvl w:ilvl="0" w:tplc="1354BBAC">
      <w:start w:val="1"/>
      <w:numFmt w:val="decimal"/>
      <w:lvlText w:val="%1."/>
      <w:lvlJc w:val="left"/>
      <w:pPr>
        <w:tabs>
          <w:tab w:val="num" w:pos="720"/>
        </w:tabs>
        <w:ind w:left="720" w:right="720" w:hanging="360"/>
      </w:pPr>
    </w:lvl>
    <w:lvl w:ilvl="1" w:tplc="3E94FCA2" w:tentative="1">
      <w:start w:val="1"/>
      <w:numFmt w:val="lowerLetter"/>
      <w:lvlText w:val="%2."/>
      <w:lvlJc w:val="left"/>
      <w:pPr>
        <w:tabs>
          <w:tab w:val="num" w:pos="1440"/>
        </w:tabs>
        <w:ind w:left="1440" w:right="1440" w:hanging="360"/>
      </w:pPr>
    </w:lvl>
    <w:lvl w:ilvl="2" w:tplc="8132CFF2" w:tentative="1">
      <w:start w:val="1"/>
      <w:numFmt w:val="lowerRoman"/>
      <w:lvlText w:val="%3."/>
      <w:lvlJc w:val="right"/>
      <w:pPr>
        <w:tabs>
          <w:tab w:val="num" w:pos="2160"/>
        </w:tabs>
        <w:ind w:left="2160" w:right="2160" w:hanging="180"/>
      </w:pPr>
    </w:lvl>
    <w:lvl w:ilvl="3" w:tplc="35DED86C" w:tentative="1">
      <w:start w:val="1"/>
      <w:numFmt w:val="decimal"/>
      <w:lvlText w:val="%4."/>
      <w:lvlJc w:val="left"/>
      <w:pPr>
        <w:tabs>
          <w:tab w:val="num" w:pos="2880"/>
        </w:tabs>
        <w:ind w:left="2880" w:right="2880" w:hanging="360"/>
      </w:pPr>
    </w:lvl>
    <w:lvl w:ilvl="4" w:tplc="69F0B5CA" w:tentative="1">
      <w:start w:val="1"/>
      <w:numFmt w:val="lowerLetter"/>
      <w:lvlText w:val="%5."/>
      <w:lvlJc w:val="left"/>
      <w:pPr>
        <w:tabs>
          <w:tab w:val="num" w:pos="3600"/>
        </w:tabs>
        <w:ind w:left="3600" w:right="3600" w:hanging="360"/>
      </w:pPr>
    </w:lvl>
    <w:lvl w:ilvl="5" w:tplc="B0760CC8" w:tentative="1">
      <w:start w:val="1"/>
      <w:numFmt w:val="lowerRoman"/>
      <w:lvlText w:val="%6."/>
      <w:lvlJc w:val="right"/>
      <w:pPr>
        <w:tabs>
          <w:tab w:val="num" w:pos="4320"/>
        </w:tabs>
        <w:ind w:left="4320" w:right="4320" w:hanging="180"/>
      </w:pPr>
    </w:lvl>
    <w:lvl w:ilvl="6" w:tplc="B764EE7E" w:tentative="1">
      <w:start w:val="1"/>
      <w:numFmt w:val="decimal"/>
      <w:lvlText w:val="%7."/>
      <w:lvlJc w:val="left"/>
      <w:pPr>
        <w:tabs>
          <w:tab w:val="num" w:pos="5040"/>
        </w:tabs>
        <w:ind w:left="5040" w:right="5040" w:hanging="360"/>
      </w:pPr>
    </w:lvl>
    <w:lvl w:ilvl="7" w:tplc="20A007AA" w:tentative="1">
      <w:start w:val="1"/>
      <w:numFmt w:val="lowerLetter"/>
      <w:lvlText w:val="%8."/>
      <w:lvlJc w:val="left"/>
      <w:pPr>
        <w:tabs>
          <w:tab w:val="num" w:pos="5760"/>
        </w:tabs>
        <w:ind w:left="5760" w:right="5760" w:hanging="360"/>
      </w:pPr>
    </w:lvl>
    <w:lvl w:ilvl="8" w:tplc="592ED114" w:tentative="1">
      <w:start w:val="1"/>
      <w:numFmt w:val="lowerRoman"/>
      <w:lvlText w:val="%9."/>
      <w:lvlJc w:val="right"/>
      <w:pPr>
        <w:tabs>
          <w:tab w:val="num" w:pos="6480"/>
        </w:tabs>
        <w:ind w:left="6480" w:right="6480" w:hanging="180"/>
      </w:pPr>
    </w:lvl>
  </w:abstractNum>
  <w:abstractNum w:abstractNumId="11" w15:restartNumberingAfterBreak="0">
    <w:nsid w:val="31831E55"/>
    <w:multiLevelType w:val="hybridMultilevel"/>
    <w:tmpl w:val="5E601672"/>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6BF0DB3"/>
    <w:multiLevelType w:val="multilevel"/>
    <w:tmpl w:val="0E66DBD2"/>
    <w:lvl w:ilvl="0">
      <w:start w:val="1"/>
      <w:numFmt w:val="decimal"/>
      <w:pStyle w:val="11"/>
      <w:lvlText w:val="%1."/>
      <w:lvlJc w:val="left"/>
      <w:pPr>
        <w:tabs>
          <w:tab w:val="num" w:pos="720"/>
        </w:tabs>
        <w:ind w:left="720" w:hanging="720"/>
      </w:pPr>
    </w:lvl>
    <w:lvl w:ilvl="1">
      <w:start w:val="1"/>
      <w:numFmt w:val="hebrew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hebrew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4A277267"/>
    <w:multiLevelType w:val="hybridMultilevel"/>
    <w:tmpl w:val="7FC8C1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0767B83"/>
    <w:multiLevelType w:val="hybridMultilevel"/>
    <w:tmpl w:val="18DE858C"/>
    <w:lvl w:ilvl="0" w:tplc="ADD682D8">
      <w:start w:val="1"/>
      <w:numFmt w:val="decimal"/>
      <w:lvlText w:val="%1."/>
      <w:lvlJc w:val="left"/>
      <w:pPr>
        <w:ind w:left="720" w:hanging="360"/>
      </w:pPr>
      <w:rPr>
        <w:rFonts w:ascii="Times New Roman" w:eastAsia="Times New Roman" w:hAnsi="Times New Roman" w:cs="FrankRueh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6D03AE"/>
    <w:multiLevelType w:val="hybridMultilevel"/>
    <w:tmpl w:val="9C864CDA"/>
    <w:lvl w:ilvl="0" w:tplc="3EF49242">
      <w:start w:val="1"/>
      <w:numFmt w:val="decimal"/>
      <w:lvlText w:val="%1."/>
      <w:lvlJc w:val="left"/>
      <w:pPr>
        <w:ind w:left="20" w:hanging="360"/>
      </w:pPr>
    </w:lvl>
    <w:lvl w:ilvl="1" w:tplc="04090019">
      <w:start w:val="1"/>
      <w:numFmt w:val="lowerLetter"/>
      <w:lvlText w:val="%2."/>
      <w:lvlJc w:val="left"/>
      <w:pPr>
        <w:ind w:left="740" w:hanging="360"/>
      </w:pPr>
    </w:lvl>
    <w:lvl w:ilvl="2" w:tplc="0409001B">
      <w:start w:val="1"/>
      <w:numFmt w:val="lowerRoman"/>
      <w:lvlText w:val="%3."/>
      <w:lvlJc w:val="right"/>
      <w:pPr>
        <w:ind w:left="1460" w:hanging="180"/>
      </w:pPr>
    </w:lvl>
    <w:lvl w:ilvl="3" w:tplc="0409000F">
      <w:start w:val="1"/>
      <w:numFmt w:val="decimal"/>
      <w:lvlText w:val="%4."/>
      <w:lvlJc w:val="left"/>
      <w:pPr>
        <w:ind w:left="2180" w:hanging="360"/>
      </w:pPr>
    </w:lvl>
    <w:lvl w:ilvl="4" w:tplc="04090019">
      <w:start w:val="1"/>
      <w:numFmt w:val="lowerLetter"/>
      <w:lvlText w:val="%5."/>
      <w:lvlJc w:val="left"/>
      <w:pPr>
        <w:ind w:left="2900" w:hanging="360"/>
      </w:pPr>
    </w:lvl>
    <w:lvl w:ilvl="5" w:tplc="0409001B">
      <w:start w:val="1"/>
      <w:numFmt w:val="lowerRoman"/>
      <w:lvlText w:val="%6."/>
      <w:lvlJc w:val="right"/>
      <w:pPr>
        <w:ind w:left="3620" w:hanging="180"/>
      </w:pPr>
    </w:lvl>
    <w:lvl w:ilvl="6" w:tplc="0409000F">
      <w:start w:val="1"/>
      <w:numFmt w:val="decimal"/>
      <w:lvlText w:val="%7."/>
      <w:lvlJc w:val="left"/>
      <w:pPr>
        <w:ind w:left="4340" w:hanging="360"/>
      </w:pPr>
    </w:lvl>
    <w:lvl w:ilvl="7" w:tplc="04090019">
      <w:start w:val="1"/>
      <w:numFmt w:val="lowerLetter"/>
      <w:lvlText w:val="%8."/>
      <w:lvlJc w:val="left"/>
      <w:pPr>
        <w:ind w:left="5060" w:hanging="360"/>
      </w:pPr>
    </w:lvl>
    <w:lvl w:ilvl="8" w:tplc="0409001B">
      <w:start w:val="1"/>
      <w:numFmt w:val="lowerRoman"/>
      <w:lvlText w:val="%9."/>
      <w:lvlJc w:val="right"/>
      <w:pPr>
        <w:ind w:left="5780" w:hanging="180"/>
      </w:pPr>
    </w:lvl>
  </w:abstractNum>
  <w:abstractNum w:abstractNumId="16" w15:restartNumberingAfterBreak="0">
    <w:nsid w:val="61247732"/>
    <w:multiLevelType w:val="multilevel"/>
    <w:tmpl w:val="C024A742"/>
    <w:lvl w:ilvl="0">
      <w:start w:val="1"/>
      <w:numFmt w:val="hebrew1"/>
      <w:pStyle w:val="1"/>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hebrew1"/>
      <w:lvlText w:val="(%3)"/>
      <w:lvlJc w:val="left"/>
      <w:pPr>
        <w:tabs>
          <w:tab w:val="num" w:pos="1361"/>
        </w:tabs>
        <w:ind w:left="1191" w:hanging="397"/>
      </w:pPr>
      <w:rPr>
        <w:rFonts w:hint="default"/>
      </w:rPr>
    </w:lvl>
    <w:lvl w:ilvl="3">
      <w:start w:val="1"/>
      <w:numFmt w:val="decimal"/>
      <w:lvlText w:val="(%4)"/>
      <w:lvlJc w:val="left"/>
      <w:pPr>
        <w:tabs>
          <w:tab w:val="num" w:pos="1758"/>
        </w:tabs>
        <w:ind w:left="1588" w:hanging="397"/>
      </w:pPr>
      <w:rPr>
        <w:rFonts w:hint="default"/>
      </w:rPr>
    </w:lvl>
    <w:lvl w:ilvl="4">
      <w:start w:val="1"/>
      <w:numFmt w:val="decimal"/>
      <w:lvlText w:val="(%3)%4.%5."/>
      <w:lvlJc w:val="left"/>
      <w:pPr>
        <w:tabs>
          <w:tab w:val="num" w:pos="1928"/>
        </w:tabs>
        <w:ind w:left="1985" w:hanging="397"/>
      </w:pPr>
      <w:rPr>
        <w:rFonts w:hint="default"/>
      </w:rPr>
    </w:lvl>
    <w:lvl w:ilvl="5">
      <w:start w:val="1"/>
      <w:numFmt w:val="decimal"/>
      <w:lvlText w:val="(%3)%4.%5.%6."/>
      <w:lvlJc w:val="left"/>
      <w:pPr>
        <w:tabs>
          <w:tab w:val="num" w:pos="2325"/>
        </w:tabs>
        <w:ind w:left="2382" w:hanging="397"/>
      </w:pPr>
      <w:rPr>
        <w:rFonts w:hint="default"/>
      </w:rPr>
    </w:lvl>
    <w:lvl w:ilvl="6">
      <w:start w:val="1"/>
      <w:numFmt w:val="decimal"/>
      <w:lvlText w:val="(%3)%4.%5.%6.%7."/>
      <w:lvlJc w:val="left"/>
      <w:pPr>
        <w:tabs>
          <w:tab w:val="num" w:pos="2722"/>
        </w:tabs>
        <w:ind w:left="2779" w:hanging="397"/>
      </w:pPr>
      <w:rPr>
        <w:rFonts w:hint="default"/>
      </w:rPr>
    </w:lvl>
    <w:lvl w:ilvl="7">
      <w:start w:val="1"/>
      <w:numFmt w:val="decimal"/>
      <w:lvlText w:val="(%3)%4.%5.%6.%7.%8."/>
      <w:lvlJc w:val="left"/>
      <w:pPr>
        <w:tabs>
          <w:tab w:val="num" w:pos="3119"/>
        </w:tabs>
        <w:ind w:left="3176" w:hanging="397"/>
      </w:pPr>
      <w:rPr>
        <w:rFonts w:hint="default"/>
      </w:rPr>
    </w:lvl>
    <w:lvl w:ilvl="8">
      <w:start w:val="1"/>
      <w:numFmt w:val="decimal"/>
      <w:lvlText w:val="(%3)%4.%5.%6.%7.%8.%9."/>
      <w:lvlJc w:val="left"/>
      <w:pPr>
        <w:tabs>
          <w:tab w:val="num" w:pos="3516"/>
        </w:tabs>
        <w:ind w:left="3573" w:hanging="397"/>
      </w:pPr>
      <w:rPr>
        <w:rFonts w:hint="default"/>
      </w:rPr>
    </w:lvl>
  </w:abstractNum>
  <w:abstractNum w:abstractNumId="17" w15:restartNumberingAfterBreak="0">
    <w:nsid w:val="61F67260"/>
    <w:multiLevelType w:val="hybridMultilevel"/>
    <w:tmpl w:val="85FA41D4"/>
    <w:lvl w:ilvl="0" w:tplc="C1124730">
      <w:start w:val="1"/>
      <w:numFmt w:val="decimal"/>
      <w:lvlText w:val="%1."/>
      <w:lvlJc w:val="left"/>
      <w:pPr>
        <w:ind w:left="1117" w:hanging="360"/>
      </w:pPr>
      <w:rPr>
        <w:sz w:val="28"/>
      </w:rPr>
    </w:lvl>
    <w:lvl w:ilvl="1" w:tplc="04090019">
      <w:start w:val="1"/>
      <w:numFmt w:val="lowerLetter"/>
      <w:lvlText w:val="%2."/>
      <w:lvlJc w:val="left"/>
      <w:pPr>
        <w:ind w:left="1837" w:hanging="360"/>
      </w:pPr>
    </w:lvl>
    <w:lvl w:ilvl="2" w:tplc="0409001B">
      <w:start w:val="1"/>
      <w:numFmt w:val="lowerRoman"/>
      <w:lvlText w:val="%3."/>
      <w:lvlJc w:val="right"/>
      <w:pPr>
        <w:ind w:left="2557" w:hanging="180"/>
      </w:pPr>
    </w:lvl>
    <w:lvl w:ilvl="3" w:tplc="0409000F">
      <w:start w:val="1"/>
      <w:numFmt w:val="decimal"/>
      <w:lvlText w:val="%4."/>
      <w:lvlJc w:val="left"/>
      <w:pPr>
        <w:ind w:left="3277" w:hanging="360"/>
      </w:pPr>
    </w:lvl>
    <w:lvl w:ilvl="4" w:tplc="04090019">
      <w:start w:val="1"/>
      <w:numFmt w:val="lowerLetter"/>
      <w:lvlText w:val="%5."/>
      <w:lvlJc w:val="left"/>
      <w:pPr>
        <w:ind w:left="3997" w:hanging="360"/>
      </w:pPr>
    </w:lvl>
    <w:lvl w:ilvl="5" w:tplc="0409001B">
      <w:start w:val="1"/>
      <w:numFmt w:val="lowerRoman"/>
      <w:lvlText w:val="%6."/>
      <w:lvlJc w:val="right"/>
      <w:pPr>
        <w:ind w:left="4717" w:hanging="180"/>
      </w:pPr>
    </w:lvl>
    <w:lvl w:ilvl="6" w:tplc="0409000F">
      <w:start w:val="1"/>
      <w:numFmt w:val="decimal"/>
      <w:lvlText w:val="%7."/>
      <w:lvlJc w:val="left"/>
      <w:pPr>
        <w:ind w:left="5437" w:hanging="360"/>
      </w:pPr>
    </w:lvl>
    <w:lvl w:ilvl="7" w:tplc="04090019">
      <w:start w:val="1"/>
      <w:numFmt w:val="lowerLetter"/>
      <w:lvlText w:val="%8."/>
      <w:lvlJc w:val="left"/>
      <w:pPr>
        <w:ind w:left="6157" w:hanging="360"/>
      </w:pPr>
    </w:lvl>
    <w:lvl w:ilvl="8" w:tplc="0409001B">
      <w:start w:val="1"/>
      <w:numFmt w:val="lowerRoman"/>
      <w:lvlText w:val="%9."/>
      <w:lvlJc w:val="right"/>
      <w:pPr>
        <w:ind w:left="6877" w:hanging="180"/>
      </w:pPr>
    </w:lvl>
  </w:abstractNum>
  <w:abstractNum w:abstractNumId="18" w15:restartNumberingAfterBreak="0">
    <w:nsid w:val="657F7696"/>
    <w:multiLevelType w:val="hybridMultilevel"/>
    <w:tmpl w:val="46D6F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4D5B8B"/>
    <w:multiLevelType w:val="hybridMultilevel"/>
    <w:tmpl w:val="FB78DD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7E510DF"/>
    <w:multiLevelType w:val="multilevel"/>
    <w:tmpl w:val="B29E0AE8"/>
    <w:lvl w:ilvl="0">
      <w:start w:val="1"/>
      <w:numFmt w:val="hebrew1"/>
      <w:pStyle w:val="a0"/>
      <w:lvlText w:val="%1."/>
      <w:lvlJc w:val="left"/>
      <w:pPr>
        <w:tabs>
          <w:tab w:val="num" w:pos="360"/>
        </w:tabs>
        <w:ind w:left="360" w:hanging="360"/>
      </w:pPr>
      <w:rPr>
        <w:rFonts w:cs="Narkisim" w:hint="cs"/>
        <w:bCs/>
        <w:iCs w:val="0"/>
        <w:szCs w:val="24"/>
      </w:rPr>
    </w:lvl>
    <w:lvl w:ilvl="1">
      <w:start w:val="1"/>
      <w:numFmt w:val="hebrew1"/>
      <w:pStyle w:val="a1"/>
      <w:lvlText w:val="%2."/>
      <w:lvlJc w:val="left"/>
      <w:pPr>
        <w:tabs>
          <w:tab w:val="num" w:pos="794"/>
        </w:tabs>
        <w:ind w:left="397" w:hanging="397"/>
      </w:pPr>
      <w:rPr>
        <w:rFonts w:cs="Narkisim" w:hint="cs"/>
        <w:bCs/>
        <w:iCs w:val="0"/>
        <w:szCs w:val="24"/>
      </w:rPr>
    </w:lvl>
    <w:lvl w:ilvl="2">
      <w:start w:val="1"/>
      <w:numFmt w:val="decimal"/>
      <w:pStyle w:val="10"/>
      <w:lvlText w:val="(%3)"/>
      <w:lvlJc w:val="left"/>
      <w:pPr>
        <w:tabs>
          <w:tab w:val="num" w:pos="397"/>
        </w:tabs>
        <w:ind w:left="0" w:firstLine="0"/>
      </w:pPr>
      <w:rPr>
        <w:rFonts w:cs="Narkisim" w:hint="cs"/>
        <w:bCs/>
        <w:i/>
        <w:iCs w:val="0"/>
        <w:szCs w:val="22"/>
      </w:rPr>
    </w:lvl>
    <w:lvl w:ilvl="3">
      <w:start w:val="1"/>
      <w:numFmt w:val="hebrew1"/>
      <w:pStyle w:val="a2"/>
      <w:lvlText w:val="(%4)"/>
      <w:lvlJc w:val="left"/>
      <w:pPr>
        <w:tabs>
          <w:tab w:val="num" w:pos="397"/>
        </w:tabs>
        <w:ind w:left="0" w:firstLine="0"/>
      </w:pPr>
      <w:rPr>
        <w:rFonts w:hint="default"/>
        <w:bCs w:val="0"/>
        <w:iCs w:val="0"/>
        <w:szCs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6829476C"/>
    <w:multiLevelType w:val="hybridMultilevel"/>
    <w:tmpl w:val="19B6E4C6"/>
    <w:lvl w:ilvl="0" w:tplc="C786E462">
      <w:start w:val="1"/>
      <w:numFmt w:val="hebrew1"/>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69B6346A"/>
    <w:multiLevelType w:val="hybridMultilevel"/>
    <w:tmpl w:val="7C70491A"/>
    <w:lvl w:ilvl="0" w:tplc="FA7E540A">
      <w:start w:val="1"/>
      <w:numFmt w:val="hebrew1"/>
      <w:lvlText w:val="%1)"/>
      <w:lvlJc w:val="left"/>
      <w:pPr>
        <w:ind w:left="309" w:hanging="360"/>
      </w:pPr>
    </w:lvl>
    <w:lvl w:ilvl="1" w:tplc="04090019">
      <w:start w:val="1"/>
      <w:numFmt w:val="lowerLetter"/>
      <w:lvlText w:val="%2."/>
      <w:lvlJc w:val="left"/>
      <w:pPr>
        <w:ind w:left="1029" w:hanging="360"/>
      </w:pPr>
    </w:lvl>
    <w:lvl w:ilvl="2" w:tplc="0409001B">
      <w:start w:val="1"/>
      <w:numFmt w:val="lowerRoman"/>
      <w:lvlText w:val="%3."/>
      <w:lvlJc w:val="right"/>
      <w:pPr>
        <w:ind w:left="1749" w:hanging="180"/>
      </w:pPr>
    </w:lvl>
    <w:lvl w:ilvl="3" w:tplc="0409000F">
      <w:start w:val="1"/>
      <w:numFmt w:val="decimal"/>
      <w:lvlText w:val="%4."/>
      <w:lvlJc w:val="left"/>
      <w:pPr>
        <w:ind w:left="2469" w:hanging="360"/>
      </w:pPr>
    </w:lvl>
    <w:lvl w:ilvl="4" w:tplc="04090019">
      <w:start w:val="1"/>
      <w:numFmt w:val="lowerLetter"/>
      <w:lvlText w:val="%5."/>
      <w:lvlJc w:val="left"/>
      <w:pPr>
        <w:ind w:left="3189" w:hanging="360"/>
      </w:pPr>
    </w:lvl>
    <w:lvl w:ilvl="5" w:tplc="0409001B">
      <w:start w:val="1"/>
      <w:numFmt w:val="lowerRoman"/>
      <w:lvlText w:val="%6."/>
      <w:lvlJc w:val="right"/>
      <w:pPr>
        <w:ind w:left="3909" w:hanging="180"/>
      </w:pPr>
    </w:lvl>
    <w:lvl w:ilvl="6" w:tplc="0409000F">
      <w:start w:val="1"/>
      <w:numFmt w:val="decimal"/>
      <w:lvlText w:val="%7."/>
      <w:lvlJc w:val="left"/>
      <w:pPr>
        <w:ind w:left="4629" w:hanging="360"/>
      </w:pPr>
    </w:lvl>
    <w:lvl w:ilvl="7" w:tplc="04090019">
      <w:start w:val="1"/>
      <w:numFmt w:val="lowerLetter"/>
      <w:lvlText w:val="%8."/>
      <w:lvlJc w:val="left"/>
      <w:pPr>
        <w:ind w:left="5349" w:hanging="360"/>
      </w:pPr>
    </w:lvl>
    <w:lvl w:ilvl="8" w:tplc="0409001B">
      <w:start w:val="1"/>
      <w:numFmt w:val="lowerRoman"/>
      <w:lvlText w:val="%9."/>
      <w:lvlJc w:val="right"/>
      <w:pPr>
        <w:ind w:left="6069" w:hanging="180"/>
      </w:pPr>
    </w:lvl>
  </w:abstractNum>
  <w:abstractNum w:abstractNumId="23" w15:restartNumberingAfterBreak="0">
    <w:nsid w:val="6BD358BF"/>
    <w:multiLevelType w:val="hybridMultilevel"/>
    <w:tmpl w:val="B4AEF068"/>
    <w:lvl w:ilvl="0" w:tplc="04090003">
      <w:start w:val="1"/>
      <w:numFmt w:val="bullet"/>
      <w:lvlText w:val="o"/>
      <w:lvlJc w:val="left"/>
      <w:pPr>
        <w:ind w:left="379" w:hanging="360"/>
      </w:pPr>
      <w:rPr>
        <w:rFonts w:ascii="Courier New" w:hAnsi="Courier New" w:cs="Courier New" w:hint="default"/>
      </w:rPr>
    </w:lvl>
    <w:lvl w:ilvl="1" w:tplc="04090003" w:tentative="1">
      <w:start w:val="1"/>
      <w:numFmt w:val="bullet"/>
      <w:lvlText w:val="o"/>
      <w:lvlJc w:val="left"/>
      <w:pPr>
        <w:ind w:left="1099" w:hanging="360"/>
      </w:pPr>
      <w:rPr>
        <w:rFonts w:ascii="Courier New" w:hAnsi="Courier New" w:cs="Courier New" w:hint="default"/>
      </w:rPr>
    </w:lvl>
    <w:lvl w:ilvl="2" w:tplc="04090005" w:tentative="1">
      <w:start w:val="1"/>
      <w:numFmt w:val="bullet"/>
      <w:lvlText w:val=""/>
      <w:lvlJc w:val="left"/>
      <w:pPr>
        <w:ind w:left="1819" w:hanging="360"/>
      </w:pPr>
      <w:rPr>
        <w:rFonts w:ascii="Wingdings" w:hAnsi="Wingdings" w:hint="default"/>
      </w:rPr>
    </w:lvl>
    <w:lvl w:ilvl="3" w:tplc="04090001" w:tentative="1">
      <w:start w:val="1"/>
      <w:numFmt w:val="bullet"/>
      <w:lvlText w:val=""/>
      <w:lvlJc w:val="left"/>
      <w:pPr>
        <w:ind w:left="2539" w:hanging="360"/>
      </w:pPr>
      <w:rPr>
        <w:rFonts w:ascii="Symbol" w:hAnsi="Symbol" w:hint="default"/>
      </w:rPr>
    </w:lvl>
    <w:lvl w:ilvl="4" w:tplc="04090003" w:tentative="1">
      <w:start w:val="1"/>
      <w:numFmt w:val="bullet"/>
      <w:lvlText w:val="o"/>
      <w:lvlJc w:val="left"/>
      <w:pPr>
        <w:ind w:left="3259" w:hanging="360"/>
      </w:pPr>
      <w:rPr>
        <w:rFonts w:ascii="Courier New" w:hAnsi="Courier New" w:cs="Courier New" w:hint="default"/>
      </w:rPr>
    </w:lvl>
    <w:lvl w:ilvl="5" w:tplc="04090005" w:tentative="1">
      <w:start w:val="1"/>
      <w:numFmt w:val="bullet"/>
      <w:lvlText w:val=""/>
      <w:lvlJc w:val="left"/>
      <w:pPr>
        <w:ind w:left="3979" w:hanging="360"/>
      </w:pPr>
      <w:rPr>
        <w:rFonts w:ascii="Wingdings" w:hAnsi="Wingdings" w:hint="default"/>
      </w:rPr>
    </w:lvl>
    <w:lvl w:ilvl="6" w:tplc="04090001" w:tentative="1">
      <w:start w:val="1"/>
      <w:numFmt w:val="bullet"/>
      <w:lvlText w:val=""/>
      <w:lvlJc w:val="left"/>
      <w:pPr>
        <w:ind w:left="4699" w:hanging="360"/>
      </w:pPr>
      <w:rPr>
        <w:rFonts w:ascii="Symbol" w:hAnsi="Symbol" w:hint="default"/>
      </w:rPr>
    </w:lvl>
    <w:lvl w:ilvl="7" w:tplc="04090003" w:tentative="1">
      <w:start w:val="1"/>
      <w:numFmt w:val="bullet"/>
      <w:lvlText w:val="o"/>
      <w:lvlJc w:val="left"/>
      <w:pPr>
        <w:ind w:left="5419" w:hanging="360"/>
      </w:pPr>
      <w:rPr>
        <w:rFonts w:ascii="Courier New" w:hAnsi="Courier New" w:cs="Courier New" w:hint="default"/>
      </w:rPr>
    </w:lvl>
    <w:lvl w:ilvl="8" w:tplc="04090005" w:tentative="1">
      <w:start w:val="1"/>
      <w:numFmt w:val="bullet"/>
      <w:lvlText w:val=""/>
      <w:lvlJc w:val="left"/>
      <w:pPr>
        <w:ind w:left="6139" w:hanging="360"/>
      </w:pPr>
      <w:rPr>
        <w:rFonts w:ascii="Wingdings" w:hAnsi="Wingdings" w:hint="default"/>
      </w:rPr>
    </w:lvl>
  </w:abstractNum>
  <w:abstractNum w:abstractNumId="24" w15:restartNumberingAfterBreak="0">
    <w:nsid w:val="6CB11A54"/>
    <w:multiLevelType w:val="hybridMultilevel"/>
    <w:tmpl w:val="F88EE728"/>
    <w:lvl w:ilvl="0" w:tplc="A72E027E">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3817267"/>
    <w:multiLevelType w:val="hybridMultilevel"/>
    <w:tmpl w:val="18DE858C"/>
    <w:lvl w:ilvl="0" w:tplc="FFFFFFFF">
      <w:start w:val="1"/>
      <w:numFmt w:val="decimal"/>
      <w:lvlText w:val="%1."/>
      <w:lvlJc w:val="left"/>
      <w:pPr>
        <w:ind w:left="720" w:hanging="360"/>
      </w:pPr>
      <w:rPr>
        <w:rFonts w:ascii="Times New Roman" w:eastAsia="Times New Roman" w:hAnsi="Times New Roman" w:cs="FrankRueh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B302D42"/>
    <w:multiLevelType w:val="hybridMultilevel"/>
    <w:tmpl w:val="AF840FF4"/>
    <w:lvl w:ilvl="0" w:tplc="67F0BD3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531844814">
    <w:abstractNumId w:val="16"/>
  </w:num>
  <w:num w:numId="2" w16cid:durableId="256526102">
    <w:abstractNumId w:val="20"/>
  </w:num>
  <w:num w:numId="3" w16cid:durableId="1572472102">
    <w:abstractNumId w:val="12"/>
    <w:lvlOverride w:ilvl="0">
      <w:lvl w:ilvl="0">
        <w:start w:val="1"/>
        <w:numFmt w:val="decimal"/>
        <w:pStyle w:val="11"/>
        <w:lvlText w:val="%1."/>
        <w:lvlJc w:val="left"/>
        <w:pPr>
          <w:tabs>
            <w:tab w:val="num" w:pos="397"/>
          </w:tabs>
          <w:ind w:left="397" w:hanging="397"/>
        </w:pPr>
        <w:rPr>
          <w:rFonts w:hint="default"/>
        </w:rPr>
      </w:lvl>
    </w:lvlOverride>
    <w:lvlOverride w:ilvl="1">
      <w:lvl w:ilvl="1">
        <w:start w:val="1"/>
        <w:numFmt w:val="hebrew1"/>
        <w:lvlText w:val="(%2)"/>
        <w:lvlJc w:val="left"/>
        <w:pPr>
          <w:tabs>
            <w:tab w:val="num" w:pos="964"/>
          </w:tabs>
          <w:ind w:left="794" w:hanging="397"/>
        </w:pPr>
        <w:rPr>
          <w:rFonts w:hint="default"/>
        </w:rPr>
      </w:lvl>
    </w:lvlOverride>
    <w:lvlOverride w:ilvl="2">
      <w:lvl w:ilvl="2">
        <w:start w:val="1"/>
        <w:numFmt w:val="decimal"/>
        <w:lvlText w:val="(%3)"/>
        <w:lvlJc w:val="left"/>
        <w:pPr>
          <w:tabs>
            <w:tab w:val="num" w:pos="1361"/>
          </w:tabs>
          <w:ind w:left="1191" w:hanging="397"/>
        </w:pPr>
        <w:rPr>
          <w:rFonts w:hint="default"/>
        </w:rPr>
      </w:lvl>
    </w:lvlOverride>
    <w:lvlOverride w:ilvl="3">
      <w:lvl w:ilvl="3">
        <w:start w:val="1"/>
        <w:numFmt w:val="hebrew1"/>
        <w:lvlText w:val="(%4)"/>
        <w:lvlJc w:val="left"/>
        <w:pPr>
          <w:tabs>
            <w:tab w:val="num" w:pos="1758"/>
          </w:tabs>
          <w:ind w:left="1588" w:hanging="397"/>
        </w:pPr>
        <w:rPr>
          <w:rFonts w:hint="default"/>
        </w:rPr>
      </w:lvl>
    </w:lvlOverride>
    <w:lvlOverride w:ilvl="4">
      <w:lvl w:ilvl="4">
        <w:start w:val="1"/>
        <w:numFmt w:val="decimal"/>
        <w:lvlText w:val="%5."/>
        <w:lvlJc w:val="left"/>
        <w:pPr>
          <w:tabs>
            <w:tab w:val="num" w:pos="2155"/>
          </w:tabs>
          <w:ind w:left="1985" w:hanging="397"/>
        </w:pPr>
        <w:rPr>
          <w:rFonts w:hint="default"/>
        </w:rPr>
      </w:lvl>
    </w:lvlOverride>
    <w:lvlOverride w:ilvl="5">
      <w:lvl w:ilvl="5">
        <w:start w:val="1"/>
        <w:numFmt w:val="decimal"/>
        <w:lvlText w:val="%6."/>
        <w:lvlJc w:val="left"/>
        <w:pPr>
          <w:tabs>
            <w:tab w:val="num" w:pos="2552"/>
          </w:tabs>
          <w:ind w:left="2382" w:hanging="397"/>
        </w:pPr>
        <w:rPr>
          <w:rFonts w:hint="default"/>
        </w:rPr>
      </w:lvl>
    </w:lvlOverride>
    <w:lvlOverride w:ilvl="6">
      <w:lvl w:ilvl="6">
        <w:start w:val="1"/>
        <w:numFmt w:val="decimal"/>
        <w:lvlText w:val="%7."/>
        <w:lvlJc w:val="left"/>
        <w:pPr>
          <w:tabs>
            <w:tab w:val="num" w:pos="2949"/>
          </w:tabs>
          <w:ind w:left="2779" w:hanging="397"/>
        </w:pPr>
        <w:rPr>
          <w:rFonts w:hint="default"/>
        </w:rPr>
      </w:lvl>
    </w:lvlOverride>
    <w:lvlOverride w:ilvl="7">
      <w:lvl w:ilvl="7">
        <w:start w:val="1"/>
        <w:numFmt w:val="decimal"/>
        <w:lvlText w:val="%8."/>
        <w:lvlJc w:val="left"/>
        <w:pPr>
          <w:tabs>
            <w:tab w:val="num" w:pos="3346"/>
          </w:tabs>
          <w:ind w:left="3176" w:hanging="397"/>
        </w:pPr>
        <w:rPr>
          <w:rFonts w:hint="default"/>
        </w:rPr>
      </w:lvl>
    </w:lvlOverride>
    <w:lvlOverride w:ilvl="8">
      <w:lvl w:ilvl="8">
        <w:start w:val="1"/>
        <w:numFmt w:val="decimal"/>
        <w:lvlText w:val="%9."/>
        <w:lvlJc w:val="left"/>
        <w:pPr>
          <w:tabs>
            <w:tab w:val="num" w:pos="3743"/>
          </w:tabs>
          <w:ind w:left="3573" w:hanging="397"/>
        </w:pPr>
        <w:rPr>
          <w:rFonts w:hint="default"/>
        </w:rPr>
      </w:lvl>
    </w:lvlOverride>
  </w:num>
  <w:num w:numId="4" w16cid:durableId="187881565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25323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259174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36689980">
    <w:abstractNumId w:val="12"/>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8" w16cid:durableId="2035307729">
    <w:abstractNumId w:val="12"/>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9" w16cid:durableId="1123335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47717432">
    <w:abstractNumId w:val="12"/>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11" w16cid:durableId="4439658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37919250">
    <w:abstractNumId w:val="9"/>
  </w:num>
  <w:num w:numId="13" w16cid:durableId="161050358">
    <w:abstractNumId w:val="20"/>
    <w:lvlOverride w:ilvl="0">
      <w:lvl w:ilvl="0">
        <w:start w:val="1"/>
        <w:numFmt w:val="hebrew1"/>
        <w:pStyle w:val="a0"/>
        <w:lvlText w:val="%1."/>
        <w:lvlJc w:val="left"/>
        <w:pPr>
          <w:tabs>
            <w:tab w:val="num" w:pos="360"/>
          </w:tabs>
          <w:ind w:left="360" w:hanging="360"/>
        </w:pPr>
        <w:rPr>
          <w:rFonts w:cs="Narkisim" w:hint="cs"/>
          <w:bCs/>
          <w:iCs w:val="0"/>
          <w:szCs w:val="24"/>
        </w:rPr>
      </w:lvl>
    </w:lvlOverride>
    <w:lvlOverride w:ilvl="1">
      <w:lvl w:ilvl="1">
        <w:start w:val="1"/>
        <w:numFmt w:val="hebrew1"/>
        <w:pStyle w:val="a1"/>
        <w:lvlText w:val="%2."/>
        <w:lvlJc w:val="left"/>
        <w:pPr>
          <w:tabs>
            <w:tab w:val="num" w:pos="794"/>
          </w:tabs>
          <w:ind w:left="397" w:hanging="397"/>
        </w:pPr>
        <w:rPr>
          <w:rFonts w:cs="Narkisim" w:hint="cs"/>
          <w:bCs/>
          <w:iCs w:val="0"/>
          <w:szCs w:val="24"/>
        </w:rPr>
      </w:lvl>
    </w:lvlOverride>
    <w:lvlOverride w:ilvl="2">
      <w:lvl w:ilvl="2">
        <w:start w:val="1"/>
        <w:numFmt w:val="decimal"/>
        <w:pStyle w:val="10"/>
        <w:lvlText w:val="(%3)"/>
        <w:lvlJc w:val="left"/>
        <w:pPr>
          <w:tabs>
            <w:tab w:val="num" w:pos="397"/>
          </w:tabs>
          <w:ind w:left="0" w:firstLine="0"/>
        </w:pPr>
        <w:rPr>
          <w:rFonts w:cs="Narkisim" w:hint="cs"/>
          <w:bCs/>
          <w:i/>
          <w:iCs w:val="0"/>
          <w:szCs w:val="22"/>
        </w:rPr>
      </w:lvl>
    </w:lvlOverride>
    <w:lvlOverride w:ilvl="3">
      <w:lvl w:ilvl="3">
        <w:start w:val="1"/>
        <w:numFmt w:val="hebrew1"/>
        <w:pStyle w:val="a2"/>
        <w:lvlText w:val="(%4)"/>
        <w:lvlJc w:val="left"/>
        <w:pPr>
          <w:tabs>
            <w:tab w:val="num" w:pos="397"/>
          </w:tabs>
          <w:ind w:left="0" w:firstLine="0"/>
        </w:pPr>
        <w:rPr>
          <w:rFonts w:cs="Narkisim" w:hint="cs"/>
          <w:bCs/>
          <w:iCs/>
          <w:szCs w:val="18"/>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4" w16cid:durableId="1538737794">
    <w:abstractNumId w:val="20"/>
    <w:lvlOverride w:ilvl="0">
      <w:lvl w:ilvl="0">
        <w:start w:val="1"/>
        <w:numFmt w:val="hebrew1"/>
        <w:pStyle w:val="a0"/>
        <w:lvlText w:val="%1."/>
        <w:lvlJc w:val="left"/>
        <w:pPr>
          <w:tabs>
            <w:tab w:val="num" w:pos="360"/>
          </w:tabs>
          <w:ind w:left="360" w:hanging="360"/>
        </w:pPr>
        <w:rPr>
          <w:rFonts w:cs="Narkisim" w:hint="cs"/>
          <w:bCs/>
          <w:iCs w:val="0"/>
          <w:szCs w:val="24"/>
        </w:rPr>
      </w:lvl>
    </w:lvlOverride>
    <w:lvlOverride w:ilvl="1">
      <w:lvl w:ilvl="1">
        <w:start w:val="1"/>
        <w:numFmt w:val="hebrew1"/>
        <w:pStyle w:val="a1"/>
        <w:lvlText w:val="%2."/>
        <w:lvlJc w:val="left"/>
        <w:pPr>
          <w:tabs>
            <w:tab w:val="num" w:pos="794"/>
          </w:tabs>
          <w:ind w:left="397" w:hanging="397"/>
        </w:pPr>
        <w:rPr>
          <w:rFonts w:cs="Narkisim" w:hint="cs"/>
          <w:bCs/>
          <w:iCs w:val="0"/>
          <w:szCs w:val="24"/>
        </w:rPr>
      </w:lvl>
    </w:lvlOverride>
    <w:lvlOverride w:ilvl="2">
      <w:lvl w:ilvl="2">
        <w:start w:val="1"/>
        <w:numFmt w:val="decimal"/>
        <w:pStyle w:val="10"/>
        <w:lvlText w:val="(%3)"/>
        <w:lvlJc w:val="left"/>
        <w:pPr>
          <w:tabs>
            <w:tab w:val="num" w:pos="397"/>
          </w:tabs>
          <w:ind w:left="0" w:firstLine="0"/>
        </w:pPr>
        <w:rPr>
          <w:rFonts w:cs="Narkisim" w:hint="cs"/>
          <w:bCs/>
          <w:i/>
          <w:iCs w:val="0"/>
          <w:szCs w:val="22"/>
        </w:rPr>
      </w:lvl>
    </w:lvlOverride>
    <w:lvlOverride w:ilvl="3">
      <w:lvl w:ilvl="3">
        <w:start w:val="1"/>
        <w:numFmt w:val="hebrew1"/>
        <w:pStyle w:val="a2"/>
        <w:lvlText w:val="(%4)"/>
        <w:lvlJc w:val="left"/>
        <w:pPr>
          <w:tabs>
            <w:tab w:val="num" w:pos="397"/>
          </w:tabs>
          <w:ind w:left="0" w:firstLine="0"/>
        </w:pPr>
        <w:rPr>
          <w:rFonts w:hint="default"/>
          <w:bCs w:val="0"/>
          <w:iCs/>
          <w:szCs w:val="22"/>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5" w16cid:durableId="1945459430">
    <w:abstractNumId w:val="10"/>
  </w:num>
  <w:num w:numId="16" w16cid:durableId="712850719">
    <w:abstractNumId w:val="2"/>
  </w:num>
  <w:num w:numId="17" w16cid:durableId="1442917107">
    <w:abstractNumId w:val="5"/>
  </w:num>
  <w:num w:numId="18" w16cid:durableId="4193750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09876932">
    <w:abstractNumId w:val="11"/>
  </w:num>
  <w:num w:numId="20" w16cid:durableId="5559696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24619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978570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896160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02197219">
    <w:abstractNumId w:val="3"/>
  </w:num>
  <w:num w:numId="25" w16cid:durableId="624699643">
    <w:abstractNumId w:val="23"/>
  </w:num>
  <w:num w:numId="26" w16cid:durableId="1385064183">
    <w:abstractNumId w:val="6"/>
  </w:num>
  <w:num w:numId="27" w16cid:durableId="730907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099170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42072638">
    <w:abstractNumId w:val="1"/>
  </w:num>
  <w:num w:numId="30" w16cid:durableId="592477938">
    <w:abstractNumId w:val="18"/>
  </w:num>
  <w:num w:numId="31" w16cid:durableId="1178932354">
    <w:abstractNumId w:val="0"/>
  </w:num>
  <w:num w:numId="32" w16cid:durableId="1007513227">
    <w:abstractNumId w:val="4"/>
  </w:num>
  <w:num w:numId="33" w16cid:durableId="2096240815">
    <w:abstractNumId w:val="7"/>
  </w:num>
  <w:num w:numId="34" w16cid:durableId="1427577229">
    <w:abstractNumId w:val="14"/>
  </w:num>
  <w:num w:numId="35" w16cid:durableId="2090350634">
    <w:abstractNumId w:val="21"/>
  </w:num>
  <w:num w:numId="36" w16cid:durableId="318848555">
    <w:abstractNumId w:val="8"/>
  </w:num>
  <w:num w:numId="37" w16cid:durableId="406002882">
    <w:abstractNumId w:val="13"/>
  </w:num>
  <w:num w:numId="38" w16cid:durableId="6384165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8B1"/>
    <w:rsid w:val="00006421"/>
    <w:rsid w:val="00007AAC"/>
    <w:rsid w:val="0003570F"/>
    <w:rsid w:val="00047688"/>
    <w:rsid w:val="000503D0"/>
    <w:rsid w:val="000538F0"/>
    <w:rsid w:val="0007219D"/>
    <w:rsid w:val="00073690"/>
    <w:rsid w:val="00084BF4"/>
    <w:rsid w:val="00091F34"/>
    <w:rsid w:val="000C6ECB"/>
    <w:rsid w:val="000D7569"/>
    <w:rsid w:val="000E0573"/>
    <w:rsid w:val="000E5463"/>
    <w:rsid w:val="000E5E32"/>
    <w:rsid w:val="000F3D3C"/>
    <w:rsid w:val="000F6784"/>
    <w:rsid w:val="00141834"/>
    <w:rsid w:val="001463AE"/>
    <w:rsid w:val="0017301A"/>
    <w:rsid w:val="001A042C"/>
    <w:rsid w:val="001B439E"/>
    <w:rsid w:val="001D1878"/>
    <w:rsid w:val="001E35DA"/>
    <w:rsid w:val="001E50C8"/>
    <w:rsid w:val="001F3BB4"/>
    <w:rsid w:val="00204DAE"/>
    <w:rsid w:val="00256DE7"/>
    <w:rsid w:val="0026102F"/>
    <w:rsid w:val="0029323C"/>
    <w:rsid w:val="00297169"/>
    <w:rsid w:val="002A5312"/>
    <w:rsid w:val="002E0AB4"/>
    <w:rsid w:val="002F4215"/>
    <w:rsid w:val="002F6A54"/>
    <w:rsid w:val="00331442"/>
    <w:rsid w:val="00336118"/>
    <w:rsid w:val="003772D4"/>
    <w:rsid w:val="003832F1"/>
    <w:rsid w:val="00387082"/>
    <w:rsid w:val="00397923"/>
    <w:rsid w:val="003B23D0"/>
    <w:rsid w:val="003B2EE9"/>
    <w:rsid w:val="003D0A52"/>
    <w:rsid w:val="003E5CC1"/>
    <w:rsid w:val="003E6E03"/>
    <w:rsid w:val="00403D72"/>
    <w:rsid w:val="00417C0C"/>
    <w:rsid w:val="00420DDA"/>
    <w:rsid w:val="00444DC3"/>
    <w:rsid w:val="00445DE0"/>
    <w:rsid w:val="00460F4E"/>
    <w:rsid w:val="00473506"/>
    <w:rsid w:val="00473811"/>
    <w:rsid w:val="0047605D"/>
    <w:rsid w:val="00482C8E"/>
    <w:rsid w:val="00493D5A"/>
    <w:rsid w:val="004A70E1"/>
    <w:rsid w:val="004B2706"/>
    <w:rsid w:val="004B71CD"/>
    <w:rsid w:val="004C1FB1"/>
    <w:rsid w:val="004D5C89"/>
    <w:rsid w:val="004D747B"/>
    <w:rsid w:val="004E46AC"/>
    <w:rsid w:val="0051147D"/>
    <w:rsid w:val="0053596D"/>
    <w:rsid w:val="00542D5D"/>
    <w:rsid w:val="005452D2"/>
    <w:rsid w:val="00551E47"/>
    <w:rsid w:val="005564F3"/>
    <w:rsid w:val="005605C5"/>
    <w:rsid w:val="00582096"/>
    <w:rsid w:val="005B7AD2"/>
    <w:rsid w:val="005C02ED"/>
    <w:rsid w:val="005D431F"/>
    <w:rsid w:val="005E10F5"/>
    <w:rsid w:val="005F3092"/>
    <w:rsid w:val="006040E7"/>
    <w:rsid w:val="006107D4"/>
    <w:rsid w:val="006108B1"/>
    <w:rsid w:val="0061419D"/>
    <w:rsid w:val="00621046"/>
    <w:rsid w:val="006310E4"/>
    <w:rsid w:val="00641C31"/>
    <w:rsid w:val="00644E42"/>
    <w:rsid w:val="0065626D"/>
    <w:rsid w:val="00661492"/>
    <w:rsid w:val="006649F6"/>
    <w:rsid w:val="00670A3C"/>
    <w:rsid w:val="006B66A4"/>
    <w:rsid w:val="006C69A3"/>
    <w:rsid w:val="006D2102"/>
    <w:rsid w:val="006E6BBF"/>
    <w:rsid w:val="006E7140"/>
    <w:rsid w:val="006E7815"/>
    <w:rsid w:val="00716B42"/>
    <w:rsid w:val="00735864"/>
    <w:rsid w:val="00740D3F"/>
    <w:rsid w:val="00746D83"/>
    <w:rsid w:val="0075572F"/>
    <w:rsid w:val="00776760"/>
    <w:rsid w:val="007A0A66"/>
    <w:rsid w:val="007A5E21"/>
    <w:rsid w:val="007B25A9"/>
    <w:rsid w:val="007C0B59"/>
    <w:rsid w:val="007C3413"/>
    <w:rsid w:val="007D387A"/>
    <w:rsid w:val="007E77A4"/>
    <w:rsid w:val="00806638"/>
    <w:rsid w:val="00806974"/>
    <w:rsid w:val="00823169"/>
    <w:rsid w:val="00832069"/>
    <w:rsid w:val="00833A02"/>
    <w:rsid w:val="008429F3"/>
    <w:rsid w:val="00845750"/>
    <w:rsid w:val="00845771"/>
    <w:rsid w:val="008612C3"/>
    <w:rsid w:val="008807C9"/>
    <w:rsid w:val="00883EAA"/>
    <w:rsid w:val="00886B2D"/>
    <w:rsid w:val="008A683B"/>
    <w:rsid w:val="008C1481"/>
    <w:rsid w:val="008E5955"/>
    <w:rsid w:val="008F7137"/>
    <w:rsid w:val="00904CCC"/>
    <w:rsid w:val="00925E26"/>
    <w:rsid w:val="009403D8"/>
    <w:rsid w:val="009679A7"/>
    <w:rsid w:val="009A6600"/>
    <w:rsid w:val="009B7441"/>
    <w:rsid w:val="009D23D6"/>
    <w:rsid w:val="009E2CB1"/>
    <w:rsid w:val="009F2662"/>
    <w:rsid w:val="00A15740"/>
    <w:rsid w:val="00A165F5"/>
    <w:rsid w:val="00A43E87"/>
    <w:rsid w:val="00AC3C3B"/>
    <w:rsid w:val="00AC796E"/>
    <w:rsid w:val="00AD3F81"/>
    <w:rsid w:val="00AE0944"/>
    <w:rsid w:val="00AF7330"/>
    <w:rsid w:val="00B629CF"/>
    <w:rsid w:val="00B74063"/>
    <w:rsid w:val="00B843D4"/>
    <w:rsid w:val="00B91EE4"/>
    <w:rsid w:val="00BA19D6"/>
    <w:rsid w:val="00BB1644"/>
    <w:rsid w:val="00BB7B01"/>
    <w:rsid w:val="00BC1FF3"/>
    <w:rsid w:val="00BC2954"/>
    <w:rsid w:val="00BD18F7"/>
    <w:rsid w:val="00BE09F6"/>
    <w:rsid w:val="00BF58F9"/>
    <w:rsid w:val="00BF7C9F"/>
    <w:rsid w:val="00C07E82"/>
    <w:rsid w:val="00C17BEA"/>
    <w:rsid w:val="00C426B1"/>
    <w:rsid w:val="00C61598"/>
    <w:rsid w:val="00C75942"/>
    <w:rsid w:val="00C85A9B"/>
    <w:rsid w:val="00C8609C"/>
    <w:rsid w:val="00C957FA"/>
    <w:rsid w:val="00C97EDD"/>
    <w:rsid w:val="00CA5144"/>
    <w:rsid w:val="00CB4524"/>
    <w:rsid w:val="00CD3C23"/>
    <w:rsid w:val="00CD70E7"/>
    <w:rsid w:val="00CE09F2"/>
    <w:rsid w:val="00CE18E3"/>
    <w:rsid w:val="00D01A98"/>
    <w:rsid w:val="00D02377"/>
    <w:rsid w:val="00D1056A"/>
    <w:rsid w:val="00D1058F"/>
    <w:rsid w:val="00D116D2"/>
    <w:rsid w:val="00D2669D"/>
    <w:rsid w:val="00D362E5"/>
    <w:rsid w:val="00D41648"/>
    <w:rsid w:val="00D4325A"/>
    <w:rsid w:val="00D55DBB"/>
    <w:rsid w:val="00D732F4"/>
    <w:rsid w:val="00D77F78"/>
    <w:rsid w:val="00D93CE5"/>
    <w:rsid w:val="00DA2C8B"/>
    <w:rsid w:val="00DB7CB8"/>
    <w:rsid w:val="00DD0F11"/>
    <w:rsid w:val="00DE152D"/>
    <w:rsid w:val="00DE1644"/>
    <w:rsid w:val="00DE7442"/>
    <w:rsid w:val="00DF366C"/>
    <w:rsid w:val="00DF57C1"/>
    <w:rsid w:val="00E104C3"/>
    <w:rsid w:val="00E24346"/>
    <w:rsid w:val="00E26951"/>
    <w:rsid w:val="00E2756A"/>
    <w:rsid w:val="00E3002C"/>
    <w:rsid w:val="00E311D4"/>
    <w:rsid w:val="00E43697"/>
    <w:rsid w:val="00E478DE"/>
    <w:rsid w:val="00E50723"/>
    <w:rsid w:val="00E56E5C"/>
    <w:rsid w:val="00E74940"/>
    <w:rsid w:val="00E9089A"/>
    <w:rsid w:val="00E91762"/>
    <w:rsid w:val="00EA0A6F"/>
    <w:rsid w:val="00EB36FE"/>
    <w:rsid w:val="00EC5CFC"/>
    <w:rsid w:val="00ED0D18"/>
    <w:rsid w:val="00ED4071"/>
    <w:rsid w:val="00ED540D"/>
    <w:rsid w:val="00EE1DB1"/>
    <w:rsid w:val="00F01359"/>
    <w:rsid w:val="00F12C84"/>
    <w:rsid w:val="00F4312B"/>
    <w:rsid w:val="00F56183"/>
    <w:rsid w:val="00F56D6F"/>
    <w:rsid w:val="00FA1A5E"/>
    <w:rsid w:val="00FA1DAB"/>
    <w:rsid w:val="00FB09BF"/>
    <w:rsid w:val="00FC2886"/>
    <w:rsid w:val="00FC3BF7"/>
    <w:rsid w:val="00FD1376"/>
    <w:rsid w:val="00FD1F88"/>
    <w:rsid w:val="00FD4FCC"/>
    <w:rsid w:val="00FD542E"/>
    <w:rsid w:val="00FD7825"/>
    <w:rsid w:val="00FF1CAC"/>
    <w:rsid w:val="00FF7C2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40577"/>
  <w15:docId w15:val="{D15FD347-9F26-4AD1-ACE4-7C5339C5A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Miriam"/>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65626D"/>
    <w:pPr>
      <w:bidi/>
      <w:jc w:val="both"/>
    </w:pPr>
    <w:rPr>
      <w:rFonts w:cs="FrankRuehl"/>
      <w:sz w:val="22"/>
      <w:szCs w:val="28"/>
    </w:rPr>
  </w:style>
  <w:style w:type="paragraph" w:styleId="2">
    <w:name w:val="heading 2"/>
    <w:basedOn w:val="a3"/>
    <w:link w:val="20"/>
    <w:uiPriority w:val="9"/>
    <w:qFormat/>
    <w:rsid w:val="001F3BB4"/>
    <w:pPr>
      <w:bidi w:val="0"/>
      <w:spacing w:before="100" w:beforeAutospacing="1" w:after="100" w:afterAutospacing="1"/>
      <w:jc w:val="left"/>
      <w:outlineLvl w:val="1"/>
    </w:pPr>
    <w:rPr>
      <w:rFonts w:eastAsia="Times New Roman" w:cs="Times New Roman"/>
      <w:b/>
      <w:bCs/>
      <w:sz w:val="50"/>
      <w:szCs w:val="50"/>
    </w:rPr>
  </w:style>
  <w:style w:type="paragraph" w:styleId="5">
    <w:name w:val="heading 5"/>
    <w:basedOn w:val="a3"/>
    <w:next w:val="a3"/>
    <w:link w:val="50"/>
    <w:uiPriority w:val="9"/>
    <w:semiHidden/>
    <w:unhideWhenUsed/>
    <w:qFormat/>
    <w:rsid w:val="00E2756A"/>
    <w:pPr>
      <w:keepNext/>
      <w:keepLines/>
      <w:spacing w:before="200"/>
      <w:outlineLvl w:val="4"/>
    </w:pPr>
    <w:rPr>
      <w:rFonts w:asciiTheme="majorHAnsi" w:eastAsiaTheme="majorEastAsia" w:hAnsiTheme="majorHAnsi" w:cstheme="majorBidi"/>
      <w:color w:val="243F60" w:themeColor="accent1" w:themeShade="7F"/>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50">
    <w:name w:val="כותרת 5 תו"/>
    <w:basedOn w:val="a4"/>
    <w:link w:val="5"/>
    <w:uiPriority w:val="9"/>
    <w:semiHidden/>
    <w:rsid w:val="00E2756A"/>
    <w:rPr>
      <w:rFonts w:asciiTheme="majorHAnsi" w:eastAsiaTheme="majorEastAsia" w:hAnsiTheme="majorHAnsi" w:cstheme="majorBidi"/>
      <w:color w:val="243F60" w:themeColor="accent1" w:themeShade="7F"/>
      <w:sz w:val="22"/>
      <w:szCs w:val="28"/>
    </w:rPr>
  </w:style>
  <w:style w:type="paragraph" w:styleId="a7">
    <w:name w:val="footnote text"/>
    <w:basedOn w:val="a3"/>
    <w:link w:val="a8"/>
    <w:semiHidden/>
    <w:unhideWhenUsed/>
    <w:rsid w:val="00E2756A"/>
    <w:pPr>
      <w:tabs>
        <w:tab w:val="left" w:pos="284"/>
      </w:tabs>
      <w:spacing w:before="40" w:after="40" w:line="276" w:lineRule="auto"/>
      <w:ind w:left="284" w:hanging="284"/>
    </w:pPr>
    <w:rPr>
      <w:rFonts w:eastAsia="Times New Roman"/>
      <w:sz w:val="18"/>
      <w:szCs w:val="24"/>
      <w:lang w:eastAsia="he-IL"/>
    </w:rPr>
  </w:style>
  <w:style w:type="character" w:customStyle="1" w:styleId="a8">
    <w:name w:val="טקסט הערת שוליים תו"/>
    <w:basedOn w:val="a4"/>
    <w:link w:val="a7"/>
    <w:semiHidden/>
    <w:rsid w:val="00E2756A"/>
    <w:rPr>
      <w:rFonts w:eastAsia="Times New Roman" w:cs="FrankRuehl"/>
      <w:sz w:val="18"/>
      <w:szCs w:val="24"/>
      <w:lang w:eastAsia="he-IL"/>
    </w:rPr>
  </w:style>
  <w:style w:type="paragraph" w:styleId="a9">
    <w:name w:val="List Paragraph"/>
    <w:basedOn w:val="a3"/>
    <w:uiPriority w:val="34"/>
    <w:qFormat/>
    <w:rsid w:val="00E2756A"/>
    <w:pPr>
      <w:spacing w:line="276" w:lineRule="auto"/>
      <w:ind w:left="720"/>
      <w:contextualSpacing/>
    </w:pPr>
  </w:style>
  <w:style w:type="paragraph" w:styleId="aa">
    <w:name w:val="Quote"/>
    <w:basedOn w:val="a3"/>
    <w:link w:val="ab"/>
    <w:uiPriority w:val="29"/>
    <w:qFormat/>
    <w:rsid w:val="00E2756A"/>
    <w:pPr>
      <w:snapToGrid w:val="0"/>
      <w:spacing w:after="120"/>
      <w:ind w:left="851" w:right="851"/>
    </w:pPr>
    <w:rPr>
      <w:rFonts w:eastAsia="Calibri"/>
      <w:i/>
      <w:color w:val="000000" w:themeColor="text1"/>
      <w:kern w:val="28"/>
    </w:rPr>
  </w:style>
  <w:style w:type="character" w:customStyle="1" w:styleId="ab">
    <w:name w:val="ציטוט תו"/>
    <w:basedOn w:val="a4"/>
    <w:link w:val="aa"/>
    <w:uiPriority w:val="29"/>
    <w:rsid w:val="00E2756A"/>
    <w:rPr>
      <w:rFonts w:eastAsia="Calibri" w:cs="FrankRuehl"/>
      <w:i/>
      <w:color w:val="000000" w:themeColor="text1"/>
      <w:kern w:val="28"/>
      <w:sz w:val="22"/>
      <w:szCs w:val="28"/>
    </w:rPr>
  </w:style>
  <w:style w:type="paragraph" w:customStyle="1" w:styleId="ac">
    <w:name w:val="פרטי תיק פס''ד"/>
    <w:basedOn w:val="a3"/>
    <w:qFormat/>
    <w:rsid w:val="00E2756A"/>
    <w:pPr>
      <w:spacing w:line="360" w:lineRule="auto"/>
    </w:pPr>
    <w:rPr>
      <w:rFonts w:cs="David"/>
      <w:b/>
      <w:bCs/>
      <w:sz w:val="24"/>
      <w:szCs w:val="24"/>
    </w:rPr>
  </w:style>
  <w:style w:type="character" w:customStyle="1" w:styleId="ad">
    <w:name w:val="פסקת פתיחה תו"/>
    <w:link w:val="ae"/>
    <w:locked/>
    <w:rsid w:val="00DA2C8B"/>
    <w:rPr>
      <w:rFonts w:eastAsia="Times New Roman" w:cs="FrankRuehl"/>
      <w:sz w:val="28"/>
      <w:szCs w:val="28"/>
      <w:lang w:eastAsia="he-IL"/>
    </w:rPr>
  </w:style>
  <w:style w:type="paragraph" w:customStyle="1" w:styleId="af">
    <w:name w:val="פסקה רגילה"/>
    <w:basedOn w:val="a3"/>
    <w:link w:val="af0"/>
    <w:qFormat/>
    <w:rsid w:val="00E2756A"/>
    <w:pPr>
      <w:snapToGrid w:val="0"/>
      <w:spacing w:after="120" w:line="276" w:lineRule="auto"/>
      <w:ind w:firstLine="397"/>
    </w:pPr>
    <w:rPr>
      <w:rFonts w:eastAsia="Calibri"/>
      <w:kern w:val="28"/>
    </w:rPr>
  </w:style>
  <w:style w:type="paragraph" w:customStyle="1" w:styleId="ae">
    <w:name w:val="פסקת פתיחה"/>
    <w:basedOn w:val="a3"/>
    <w:next w:val="af"/>
    <w:link w:val="ad"/>
    <w:qFormat/>
    <w:rsid w:val="00DA2C8B"/>
    <w:pPr>
      <w:spacing w:before="120" w:after="120" w:line="276" w:lineRule="auto"/>
    </w:pPr>
    <w:rPr>
      <w:rFonts w:eastAsia="Times New Roman"/>
      <w:sz w:val="28"/>
      <w:lang w:eastAsia="he-IL"/>
    </w:rPr>
  </w:style>
  <w:style w:type="paragraph" w:customStyle="1" w:styleId="af1">
    <w:name w:val="כותרת אזור בית הדין הרבני"/>
    <w:basedOn w:val="a3"/>
    <w:qFormat/>
    <w:rsid w:val="00C17BEA"/>
    <w:pPr>
      <w:spacing w:before="120" w:after="240" w:line="360" w:lineRule="auto"/>
    </w:pPr>
    <w:rPr>
      <w:rFonts w:asciiTheme="minorBidi" w:eastAsia="Calibri" w:hAnsiTheme="minorBidi" w:cs="David"/>
      <w:b/>
      <w:bCs/>
      <w:color w:val="002B82"/>
      <w:sz w:val="28"/>
    </w:rPr>
  </w:style>
  <w:style w:type="character" w:customStyle="1" w:styleId="af0">
    <w:name w:val="פסקה רגילה תו"/>
    <w:basedOn w:val="a4"/>
    <w:link w:val="af"/>
    <w:locked/>
    <w:rsid w:val="00E2756A"/>
    <w:rPr>
      <w:rFonts w:eastAsia="Calibri" w:cs="FrankRuehl"/>
      <w:kern w:val="28"/>
      <w:sz w:val="22"/>
      <w:szCs w:val="28"/>
    </w:rPr>
  </w:style>
  <w:style w:type="character" w:customStyle="1" w:styleId="af2">
    <w:name w:val="ציטוט בתוך ציטוט תו"/>
    <w:basedOn w:val="a4"/>
    <w:link w:val="af3"/>
    <w:locked/>
    <w:rsid w:val="00DA2C8B"/>
    <w:rPr>
      <w:rFonts w:ascii="Calibri" w:eastAsia="Calibri" w:hAnsi="Calibri" w:cs="FrankRuehl"/>
      <w:i/>
      <w:color w:val="000000" w:themeColor="text1"/>
      <w:kern w:val="28"/>
      <w:sz w:val="28"/>
      <w:szCs w:val="28"/>
    </w:rPr>
  </w:style>
  <w:style w:type="paragraph" w:customStyle="1" w:styleId="af3">
    <w:name w:val="ציטוט בתוך ציטוט"/>
    <w:basedOn w:val="aa"/>
    <w:link w:val="af2"/>
    <w:qFormat/>
    <w:rsid w:val="00DA2C8B"/>
    <w:pPr>
      <w:ind w:left="1418"/>
    </w:pPr>
    <w:rPr>
      <w:rFonts w:ascii="Calibri" w:hAnsi="Calibri"/>
      <w:sz w:val="28"/>
    </w:rPr>
  </w:style>
  <w:style w:type="character" w:customStyle="1" w:styleId="af4">
    <w:name w:val="כותרת המאמר תו"/>
    <w:basedOn w:val="a4"/>
    <w:link w:val="af5"/>
    <w:locked/>
    <w:rsid w:val="00E2756A"/>
    <w:rPr>
      <w:rFonts w:eastAsia="Times New Roman" w:cs="Narkisim"/>
      <w:b/>
      <w:bCs/>
      <w:sz w:val="32"/>
      <w:szCs w:val="32"/>
      <w:lang w:eastAsia="he-IL"/>
    </w:rPr>
  </w:style>
  <w:style w:type="paragraph" w:customStyle="1" w:styleId="af6">
    <w:name w:val="כותרת שם כותב המאמר"/>
    <w:basedOn w:val="a3"/>
    <w:next w:val="af7"/>
    <w:link w:val="af8"/>
    <w:qFormat/>
    <w:rsid w:val="00E2756A"/>
    <w:pPr>
      <w:tabs>
        <w:tab w:val="left" w:pos="284"/>
        <w:tab w:val="left" w:pos="567"/>
      </w:tabs>
      <w:overflowPunct w:val="0"/>
      <w:autoSpaceDE w:val="0"/>
      <w:autoSpaceDN w:val="0"/>
      <w:adjustRightInd w:val="0"/>
      <w:spacing w:before="360" w:after="240"/>
      <w:jc w:val="center"/>
      <w:outlineLvl w:val="3"/>
    </w:pPr>
    <w:rPr>
      <w:rFonts w:eastAsia="Times New Roman" w:cs="Narkisim"/>
      <w:b/>
      <w:bCs/>
      <w:sz w:val="24"/>
      <w:lang w:eastAsia="he-IL"/>
    </w:rPr>
  </w:style>
  <w:style w:type="paragraph" w:customStyle="1" w:styleId="af5">
    <w:name w:val="כותרת המאמר"/>
    <w:basedOn w:val="a3"/>
    <w:next w:val="af6"/>
    <w:link w:val="af4"/>
    <w:rsid w:val="00E2756A"/>
    <w:pPr>
      <w:keepNext/>
      <w:spacing w:before="840" w:after="120" w:line="276" w:lineRule="auto"/>
      <w:jc w:val="center"/>
      <w:outlineLvl w:val="2"/>
    </w:pPr>
    <w:rPr>
      <w:rFonts w:eastAsia="Times New Roman" w:cs="Narkisim"/>
      <w:b/>
      <w:bCs/>
      <w:sz w:val="32"/>
      <w:szCs w:val="32"/>
      <w:lang w:eastAsia="he-IL"/>
    </w:rPr>
  </w:style>
  <w:style w:type="character" w:customStyle="1" w:styleId="af8">
    <w:name w:val="כותרת שם כותב המאמר תו"/>
    <w:basedOn w:val="a4"/>
    <w:link w:val="af6"/>
    <w:locked/>
    <w:rsid w:val="00E2756A"/>
    <w:rPr>
      <w:rFonts w:eastAsia="Times New Roman" w:cs="Narkisim"/>
      <w:b/>
      <w:bCs/>
      <w:sz w:val="24"/>
      <w:szCs w:val="28"/>
      <w:lang w:eastAsia="he-IL"/>
    </w:rPr>
  </w:style>
  <w:style w:type="paragraph" w:customStyle="1" w:styleId="af7">
    <w:name w:val="כותרת תפקיד כותב המאמר"/>
    <w:basedOn w:val="af6"/>
    <w:next w:val="ae"/>
    <w:link w:val="af9"/>
    <w:qFormat/>
    <w:rsid w:val="00E2756A"/>
    <w:pPr>
      <w:tabs>
        <w:tab w:val="clear" w:pos="284"/>
        <w:tab w:val="clear" w:pos="567"/>
      </w:tabs>
      <w:spacing w:before="240" w:after="600" w:line="276" w:lineRule="auto"/>
      <w:outlineLvl w:val="5"/>
    </w:pPr>
    <w:rPr>
      <w:sz w:val="26"/>
      <w:szCs w:val="26"/>
    </w:rPr>
  </w:style>
  <w:style w:type="character" w:customStyle="1" w:styleId="af9">
    <w:name w:val="כותרת תפקיד כותב המאמר תו"/>
    <w:basedOn w:val="af8"/>
    <w:link w:val="af7"/>
    <w:locked/>
    <w:rsid w:val="00E2756A"/>
    <w:rPr>
      <w:rFonts w:eastAsia="Times New Roman" w:cs="Narkisim"/>
      <w:b/>
      <w:bCs/>
      <w:sz w:val="26"/>
      <w:szCs w:val="26"/>
      <w:lang w:eastAsia="he-IL"/>
    </w:rPr>
  </w:style>
  <w:style w:type="character" w:customStyle="1" w:styleId="afa">
    <w:name w:val="פסק דין תו"/>
    <w:basedOn w:val="a4"/>
    <w:link w:val="afb"/>
    <w:locked/>
    <w:rsid w:val="003D0A52"/>
    <w:rPr>
      <w:rFonts w:ascii="Arial" w:eastAsia="Calibri" w:hAnsi="Arial" w:cs="FrankRuehl"/>
      <w:bCs/>
      <w:spacing w:val="20"/>
      <w:kern w:val="28"/>
      <w:sz w:val="24"/>
      <w:szCs w:val="32"/>
    </w:rPr>
  </w:style>
  <w:style w:type="paragraph" w:customStyle="1" w:styleId="afb">
    <w:name w:val="פסק דין"/>
    <w:basedOn w:val="a3"/>
    <w:next w:val="ae"/>
    <w:link w:val="afa"/>
    <w:qFormat/>
    <w:rsid w:val="003D0A52"/>
    <w:pPr>
      <w:keepNext/>
      <w:overflowPunct w:val="0"/>
      <w:autoSpaceDE w:val="0"/>
      <w:autoSpaceDN w:val="0"/>
      <w:adjustRightInd w:val="0"/>
      <w:spacing w:before="360" w:after="240" w:line="276" w:lineRule="exact"/>
      <w:jc w:val="center"/>
    </w:pPr>
    <w:rPr>
      <w:rFonts w:ascii="Arial" w:eastAsia="Calibri" w:hAnsi="Arial"/>
      <w:bCs/>
      <w:spacing w:val="20"/>
      <w:kern w:val="28"/>
      <w:sz w:val="24"/>
      <w:szCs w:val="32"/>
    </w:rPr>
  </w:style>
  <w:style w:type="character" w:customStyle="1" w:styleId="12">
    <w:name w:val="רשימה א(1)(א) מדורגת תו"/>
    <w:basedOn w:val="a4"/>
    <w:link w:val="1"/>
    <w:locked/>
    <w:rsid w:val="0051147D"/>
    <w:rPr>
      <w:rFonts w:ascii="David" w:eastAsia="Calibri" w:hAnsi="David" w:cs="FrankRuehl"/>
      <w:kern w:val="28"/>
      <w:sz w:val="36"/>
      <w:szCs w:val="28"/>
    </w:rPr>
  </w:style>
  <w:style w:type="paragraph" w:customStyle="1" w:styleId="1">
    <w:name w:val="רשימה א(1)(א) מדורגת"/>
    <w:basedOn w:val="af"/>
    <w:link w:val="12"/>
    <w:qFormat/>
    <w:rsid w:val="005452D2"/>
    <w:pPr>
      <w:numPr>
        <w:numId w:val="1"/>
      </w:numPr>
      <w:spacing w:before="120"/>
    </w:pPr>
    <w:rPr>
      <w:rFonts w:ascii="David" w:hAnsi="David"/>
      <w:sz w:val="36"/>
    </w:rPr>
  </w:style>
  <w:style w:type="paragraph" w:customStyle="1" w:styleId="a0">
    <w:name w:val="כותרת משנה אמצע ממוספרת"/>
    <w:basedOn w:val="a3"/>
    <w:next w:val="ae"/>
    <w:rsid w:val="00E2756A"/>
    <w:pPr>
      <w:keepNext/>
      <w:numPr>
        <w:numId w:val="2"/>
      </w:numPr>
      <w:tabs>
        <w:tab w:val="left" w:pos="397"/>
      </w:tabs>
      <w:spacing w:before="360" w:after="120" w:line="276" w:lineRule="auto"/>
      <w:jc w:val="center"/>
      <w:outlineLvl w:val="2"/>
    </w:pPr>
    <w:rPr>
      <w:rFonts w:eastAsia="Times New Roman" w:cs="Narkisim"/>
      <w:b/>
      <w:bCs/>
      <w:sz w:val="26"/>
      <w:szCs w:val="26"/>
      <w:lang w:eastAsia="he-IL"/>
    </w:rPr>
  </w:style>
  <w:style w:type="character" w:customStyle="1" w:styleId="110">
    <w:name w:val="רשימה 1(א)(1) מדורגת תו"/>
    <w:basedOn w:val="a4"/>
    <w:link w:val="11"/>
    <w:locked/>
    <w:rsid w:val="0051147D"/>
    <w:rPr>
      <w:rFonts w:ascii="David" w:eastAsia="Calibri" w:hAnsi="David" w:cs="FrankRuehl"/>
      <w:kern w:val="28"/>
      <w:sz w:val="28"/>
      <w:szCs w:val="28"/>
      <w:lang w:eastAsia="he-IL"/>
    </w:rPr>
  </w:style>
  <w:style w:type="paragraph" w:customStyle="1" w:styleId="11">
    <w:name w:val="רשימה 1(א)(1) מדורגת"/>
    <w:basedOn w:val="af"/>
    <w:link w:val="110"/>
    <w:qFormat/>
    <w:rsid w:val="00CE18E3"/>
    <w:pPr>
      <w:numPr>
        <w:numId w:val="3"/>
      </w:numPr>
      <w:spacing w:before="120"/>
    </w:pPr>
    <w:rPr>
      <w:rFonts w:ascii="David" w:hAnsi="David"/>
      <w:sz w:val="28"/>
      <w:lang w:eastAsia="he-IL"/>
    </w:rPr>
  </w:style>
  <w:style w:type="character" w:customStyle="1" w:styleId="afc">
    <w:name w:val="כותרת [א.] צד תו"/>
    <w:basedOn w:val="a4"/>
    <w:link w:val="afd"/>
    <w:locked/>
    <w:rsid w:val="008A683B"/>
    <w:rPr>
      <w:rFonts w:ascii="Arial" w:eastAsia="Times New Roman" w:hAnsi="Arial" w:cs="Narkisim"/>
      <w:b/>
      <w:bCs/>
      <w:sz w:val="24"/>
      <w:szCs w:val="24"/>
    </w:rPr>
  </w:style>
  <w:style w:type="paragraph" w:customStyle="1" w:styleId="afd">
    <w:name w:val="כותרת [א.] צד"/>
    <w:basedOn w:val="a1"/>
    <w:next w:val="ae"/>
    <w:link w:val="afc"/>
    <w:qFormat/>
    <w:rsid w:val="008A683B"/>
  </w:style>
  <w:style w:type="character" w:customStyle="1" w:styleId="-">
    <w:name w:val="כותרת [-] צד תו"/>
    <w:basedOn w:val="a4"/>
    <w:link w:val="-0"/>
    <w:locked/>
    <w:rsid w:val="00387082"/>
    <w:rPr>
      <w:rFonts w:ascii="Arial" w:eastAsia="Times New Roman" w:hAnsi="Arial" w:cs="Narkisim"/>
      <w:b/>
      <w:bCs/>
      <w:sz w:val="24"/>
      <w:szCs w:val="24"/>
    </w:rPr>
  </w:style>
  <w:style w:type="paragraph" w:customStyle="1" w:styleId="-0">
    <w:name w:val="כותרת [-] צד"/>
    <w:next w:val="a3"/>
    <w:link w:val="-"/>
    <w:qFormat/>
    <w:rsid w:val="00387082"/>
    <w:pPr>
      <w:keepNext/>
      <w:tabs>
        <w:tab w:val="left" w:pos="454"/>
      </w:tabs>
      <w:bidi/>
      <w:spacing w:before="360" w:after="120"/>
      <w:jc w:val="both"/>
      <w:outlineLvl w:val="3"/>
    </w:pPr>
    <w:rPr>
      <w:rFonts w:ascii="Arial" w:eastAsia="Times New Roman" w:hAnsi="Arial" w:cs="Narkisim"/>
      <w:b/>
      <w:bCs/>
      <w:sz w:val="24"/>
      <w:szCs w:val="24"/>
    </w:rPr>
  </w:style>
  <w:style w:type="character" w:customStyle="1" w:styleId="13">
    <w:name w:val="כותרת [(1)] צד תו"/>
    <w:basedOn w:val="a4"/>
    <w:link w:val="10"/>
    <w:locked/>
    <w:rsid w:val="008A683B"/>
    <w:rPr>
      <w:rFonts w:ascii="Arial" w:eastAsia="Times New Roman" w:hAnsi="Arial" w:cs="Narkisim"/>
      <w:b/>
      <w:bCs/>
      <w:sz w:val="22"/>
      <w:szCs w:val="22"/>
    </w:rPr>
  </w:style>
  <w:style w:type="paragraph" w:customStyle="1" w:styleId="10">
    <w:name w:val="כותרת [(1)] צד"/>
    <w:basedOn w:val="a1"/>
    <w:next w:val="ae"/>
    <w:link w:val="13"/>
    <w:qFormat/>
    <w:rsid w:val="008A683B"/>
    <w:pPr>
      <w:numPr>
        <w:ilvl w:val="2"/>
      </w:numPr>
      <w:spacing w:before="240"/>
      <w:outlineLvl w:val="4"/>
    </w:pPr>
    <w:rPr>
      <w:sz w:val="22"/>
      <w:szCs w:val="22"/>
    </w:rPr>
  </w:style>
  <w:style w:type="character" w:customStyle="1" w:styleId="afe">
    <w:name w:val="כותרת [(א)] צד תו"/>
    <w:basedOn w:val="13"/>
    <w:link w:val="a2"/>
    <w:locked/>
    <w:rsid w:val="008A683B"/>
    <w:rPr>
      <w:rFonts w:ascii="Arial" w:eastAsia="Times New Roman" w:hAnsi="Arial" w:cs="Narkisim"/>
      <w:b w:val="0"/>
      <w:bCs w:val="0"/>
      <w:i/>
      <w:iCs/>
      <w:sz w:val="22"/>
      <w:szCs w:val="22"/>
    </w:rPr>
  </w:style>
  <w:style w:type="paragraph" w:customStyle="1" w:styleId="a2">
    <w:name w:val="כותרת [(א)] צד"/>
    <w:basedOn w:val="10"/>
    <w:next w:val="ae"/>
    <w:link w:val="afe"/>
    <w:qFormat/>
    <w:rsid w:val="008A683B"/>
    <w:pPr>
      <w:numPr>
        <w:ilvl w:val="3"/>
        <w:numId w:val="14"/>
      </w:numPr>
      <w:outlineLvl w:val="5"/>
    </w:pPr>
    <w:rPr>
      <w:b w:val="0"/>
      <w:bCs w:val="0"/>
      <w:i/>
      <w:iCs/>
    </w:rPr>
  </w:style>
  <w:style w:type="character" w:styleId="aff">
    <w:name w:val="footnote reference"/>
    <w:aliases w:val="Footnote Reference"/>
    <w:semiHidden/>
    <w:unhideWhenUsed/>
    <w:qFormat/>
    <w:rsid w:val="00E2756A"/>
    <w:rPr>
      <w:rFonts w:ascii="Times New Roman" w:hAnsi="Times New Roman" w:cs="FrankRuehl" w:hint="default"/>
      <w:kern w:val="0"/>
      <w:position w:val="0"/>
      <w:sz w:val="20"/>
      <w:szCs w:val="28"/>
      <w:vertAlign w:val="superscript"/>
    </w:rPr>
  </w:style>
  <w:style w:type="character" w:styleId="aff0">
    <w:name w:val="Book Title"/>
    <w:basedOn w:val="a4"/>
    <w:uiPriority w:val="33"/>
    <w:qFormat/>
    <w:rsid w:val="00E2756A"/>
    <w:rPr>
      <w:b/>
      <w:bCs/>
      <w:smallCaps/>
      <w:spacing w:val="5"/>
    </w:rPr>
  </w:style>
  <w:style w:type="paragraph" w:customStyle="1" w:styleId="aff1">
    <w:name w:val="שמות הדיינים"/>
    <w:basedOn w:val="a3"/>
    <w:next w:val="a3"/>
    <w:link w:val="aff2"/>
    <w:qFormat/>
    <w:rsid w:val="00D77F78"/>
    <w:pPr>
      <w:tabs>
        <w:tab w:val="center" w:pos="4153"/>
        <w:tab w:val="right" w:pos="8306"/>
      </w:tabs>
      <w:overflowPunct w:val="0"/>
      <w:autoSpaceDE w:val="0"/>
      <w:autoSpaceDN w:val="0"/>
      <w:adjustRightInd w:val="0"/>
      <w:spacing w:after="360" w:line="276" w:lineRule="exact"/>
      <w:jc w:val="center"/>
      <w:textAlignment w:val="baseline"/>
    </w:pPr>
    <w:rPr>
      <w:rFonts w:eastAsia="Calibri" w:cs="Narkisim"/>
      <w:b/>
      <w:bCs/>
      <w:kern w:val="28"/>
      <w:sz w:val="23"/>
      <w:szCs w:val="23"/>
    </w:rPr>
  </w:style>
  <w:style w:type="character" w:customStyle="1" w:styleId="aff2">
    <w:name w:val="שמות הדיינים תו"/>
    <w:basedOn w:val="a4"/>
    <w:link w:val="aff1"/>
    <w:rsid w:val="00D77F78"/>
    <w:rPr>
      <w:rFonts w:eastAsia="Calibri" w:cs="Narkisim"/>
      <w:b/>
      <w:bCs/>
      <w:kern w:val="28"/>
      <w:sz w:val="23"/>
      <w:szCs w:val="23"/>
    </w:rPr>
  </w:style>
  <w:style w:type="paragraph" w:styleId="aff3">
    <w:name w:val="header"/>
    <w:basedOn w:val="a3"/>
    <w:link w:val="aff4"/>
    <w:uiPriority w:val="99"/>
    <w:unhideWhenUsed/>
    <w:rsid w:val="00FA1DAB"/>
    <w:pPr>
      <w:tabs>
        <w:tab w:val="center" w:pos="4153"/>
        <w:tab w:val="right" w:pos="8306"/>
      </w:tabs>
    </w:pPr>
  </w:style>
  <w:style w:type="character" w:customStyle="1" w:styleId="aff4">
    <w:name w:val="כותרת עליונה תו"/>
    <w:basedOn w:val="a4"/>
    <w:link w:val="aff3"/>
    <w:uiPriority w:val="99"/>
    <w:rsid w:val="00FA1DAB"/>
    <w:rPr>
      <w:rFonts w:cs="FrankRuehl"/>
      <w:sz w:val="22"/>
      <w:szCs w:val="28"/>
    </w:rPr>
  </w:style>
  <w:style w:type="paragraph" w:styleId="aff5">
    <w:name w:val="footer"/>
    <w:basedOn w:val="a3"/>
    <w:link w:val="aff6"/>
    <w:uiPriority w:val="99"/>
    <w:unhideWhenUsed/>
    <w:rsid w:val="00FA1DAB"/>
    <w:pPr>
      <w:tabs>
        <w:tab w:val="center" w:pos="4153"/>
        <w:tab w:val="right" w:pos="8306"/>
      </w:tabs>
    </w:pPr>
  </w:style>
  <w:style w:type="character" w:customStyle="1" w:styleId="aff6">
    <w:name w:val="כותרת תחתונה תו"/>
    <w:basedOn w:val="a4"/>
    <w:link w:val="aff5"/>
    <w:uiPriority w:val="99"/>
    <w:rsid w:val="00FA1DAB"/>
    <w:rPr>
      <w:rFonts w:cs="FrankRuehl"/>
      <w:sz w:val="22"/>
      <w:szCs w:val="28"/>
    </w:rPr>
  </w:style>
  <w:style w:type="paragraph" w:customStyle="1" w:styleId="aff7">
    <w:name w:val="רשימה רגילה"/>
    <w:basedOn w:val="1"/>
    <w:next w:val="af"/>
    <w:link w:val="aff8"/>
    <w:qFormat/>
    <w:rsid w:val="009D23D6"/>
    <w:pPr>
      <w:ind w:left="0" w:firstLine="0"/>
    </w:pPr>
  </w:style>
  <w:style w:type="character" w:customStyle="1" w:styleId="aff8">
    <w:name w:val="רשימה רגילה תו"/>
    <w:basedOn w:val="12"/>
    <w:link w:val="aff7"/>
    <w:rsid w:val="009D23D6"/>
    <w:rPr>
      <w:rFonts w:ascii="David" w:eastAsia="Calibri" w:hAnsi="David" w:cs="FrankRuehl"/>
      <w:kern w:val="28"/>
      <w:sz w:val="36"/>
      <w:szCs w:val="28"/>
    </w:rPr>
  </w:style>
  <w:style w:type="paragraph" w:customStyle="1" w:styleId="a1">
    <w:name w:val="כותרת [א.] צד"/>
    <w:basedOn w:val="a3"/>
    <w:next w:val="ae"/>
    <w:link w:val="14"/>
    <w:qFormat/>
    <w:rsid w:val="008A683B"/>
    <w:pPr>
      <w:keepNext/>
      <w:numPr>
        <w:ilvl w:val="1"/>
        <w:numId w:val="2"/>
      </w:numPr>
      <w:tabs>
        <w:tab w:val="left" w:pos="397"/>
      </w:tabs>
      <w:spacing w:before="360" w:after="120" w:line="276" w:lineRule="auto"/>
      <w:outlineLvl w:val="3"/>
    </w:pPr>
    <w:rPr>
      <w:rFonts w:ascii="Arial" w:eastAsia="Times New Roman" w:hAnsi="Arial" w:cs="Narkisim"/>
      <w:b/>
      <w:bCs/>
      <w:sz w:val="24"/>
      <w:szCs w:val="24"/>
    </w:rPr>
  </w:style>
  <w:style w:type="character" w:customStyle="1" w:styleId="14">
    <w:name w:val="כותרת [א.] צד תו1"/>
    <w:basedOn w:val="a4"/>
    <w:link w:val="a1"/>
    <w:rsid w:val="008A683B"/>
    <w:rPr>
      <w:rFonts w:ascii="Arial" w:eastAsia="Times New Roman" w:hAnsi="Arial" w:cs="Narkisim"/>
      <w:b/>
      <w:bCs/>
      <w:sz w:val="24"/>
      <w:szCs w:val="24"/>
    </w:rPr>
  </w:style>
  <w:style w:type="paragraph" w:customStyle="1" w:styleId="aff9">
    <w:name w:val="מספר תיק"/>
    <w:basedOn w:val="a3"/>
    <w:link w:val="affa"/>
    <w:qFormat/>
    <w:rsid w:val="003D0A52"/>
    <w:pPr>
      <w:overflowPunct w:val="0"/>
      <w:autoSpaceDE w:val="0"/>
      <w:autoSpaceDN w:val="0"/>
      <w:adjustRightInd w:val="0"/>
      <w:spacing w:after="240" w:line="276" w:lineRule="exact"/>
      <w:jc w:val="right"/>
      <w:textAlignment w:val="baseline"/>
    </w:pPr>
    <w:rPr>
      <w:rFonts w:eastAsia="Times New Roman"/>
      <w:sz w:val="24"/>
      <w:szCs w:val="32"/>
      <w:lang w:eastAsia="he-IL"/>
    </w:rPr>
  </w:style>
  <w:style w:type="character" w:customStyle="1" w:styleId="affa">
    <w:name w:val="מספר תיק תו"/>
    <w:basedOn w:val="a4"/>
    <w:link w:val="aff9"/>
    <w:rsid w:val="003D0A52"/>
    <w:rPr>
      <w:rFonts w:eastAsia="Times New Roman" w:cs="FrankRuehl"/>
      <w:sz w:val="24"/>
      <w:szCs w:val="32"/>
      <w:lang w:eastAsia="he-IL"/>
    </w:rPr>
  </w:style>
  <w:style w:type="paragraph" w:customStyle="1" w:styleId="affb">
    <w:name w:val="פלוני"/>
    <w:basedOn w:val="a3"/>
    <w:link w:val="affc"/>
    <w:qFormat/>
    <w:rsid w:val="003D0A52"/>
    <w:pPr>
      <w:overflowPunct w:val="0"/>
      <w:autoSpaceDE w:val="0"/>
      <w:autoSpaceDN w:val="0"/>
      <w:adjustRightInd w:val="0"/>
      <w:spacing w:after="100" w:line="240" w:lineRule="exact"/>
      <w:textAlignment w:val="baseline"/>
    </w:pPr>
    <w:rPr>
      <w:rFonts w:eastAsia="Times New Roman"/>
      <w:sz w:val="26"/>
      <w:szCs w:val="32"/>
      <w:lang w:eastAsia="he-IL"/>
    </w:rPr>
  </w:style>
  <w:style w:type="character" w:customStyle="1" w:styleId="affc">
    <w:name w:val="פלוני תו"/>
    <w:basedOn w:val="a4"/>
    <w:link w:val="affb"/>
    <w:rsid w:val="003D0A52"/>
    <w:rPr>
      <w:rFonts w:eastAsia="Times New Roman" w:cs="FrankRuehl"/>
      <w:sz w:val="26"/>
      <w:szCs w:val="32"/>
      <w:lang w:eastAsia="he-IL"/>
    </w:rPr>
  </w:style>
  <w:style w:type="paragraph" w:customStyle="1" w:styleId="affd">
    <w:name w:val="כותרת הנידון ומסקנות"/>
    <w:basedOn w:val="a3"/>
    <w:next w:val="affe"/>
    <w:link w:val="afff"/>
    <w:qFormat/>
    <w:rsid w:val="003D0A52"/>
    <w:pPr>
      <w:spacing w:before="360" w:after="120" w:line="276" w:lineRule="auto"/>
      <w:jc w:val="center"/>
    </w:pPr>
    <w:rPr>
      <w:rFonts w:ascii="Cambria" w:eastAsia="Times New Roman" w:hAnsi="Cambria" w:cs="Narkisim"/>
      <w:b/>
      <w:noProof/>
      <w:sz w:val="26"/>
      <w:szCs w:val="26"/>
      <w:lang w:eastAsia="he-IL"/>
    </w:rPr>
  </w:style>
  <w:style w:type="paragraph" w:customStyle="1" w:styleId="affe">
    <w:name w:val="תקציר פתיחה"/>
    <w:basedOn w:val="a3"/>
    <w:next w:val="a3"/>
    <w:link w:val="afff0"/>
    <w:qFormat/>
    <w:rsid w:val="0065626D"/>
    <w:pPr>
      <w:overflowPunct w:val="0"/>
      <w:autoSpaceDE w:val="0"/>
      <w:autoSpaceDN w:val="0"/>
      <w:adjustRightInd w:val="0"/>
      <w:spacing w:before="120" w:after="120" w:line="250" w:lineRule="exact"/>
      <w:textAlignment w:val="baseline"/>
    </w:pPr>
    <w:rPr>
      <w:rFonts w:eastAsia="Times New Roman"/>
      <w:sz w:val="20"/>
      <w:szCs w:val="24"/>
      <w:lang w:eastAsia="he-IL"/>
    </w:rPr>
  </w:style>
  <w:style w:type="character" w:customStyle="1" w:styleId="afff0">
    <w:name w:val="תקציר פתיחה תו"/>
    <w:basedOn w:val="a4"/>
    <w:link w:val="affe"/>
    <w:rsid w:val="0065626D"/>
    <w:rPr>
      <w:rFonts w:eastAsia="Times New Roman" w:cs="FrankRuehl"/>
      <w:szCs w:val="24"/>
      <w:lang w:eastAsia="he-IL"/>
    </w:rPr>
  </w:style>
  <w:style w:type="character" w:customStyle="1" w:styleId="afff">
    <w:name w:val="כותרת הנידון ומסקנות תו"/>
    <w:basedOn w:val="a4"/>
    <w:link w:val="affd"/>
    <w:rsid w:val="003D0A52"/>
    <w:rPr>
      <w:rFonts w:ascii="Cambria" w:eastAsia="Times New Roman" w:hAnsi="Cambria" w:cs="Narkisim"/>
      <w:b/>
      <w:noProof/>
      <w:sz w:val="26"/>
      <w:szCs w:val="26"/>
      <w:lang w:eastAsia="he-IL"/>
    </w:rPr>
  </w:style>
  <w:style w:type="paragraph" w:customStyle="1" w:styleId="afff1">
    <w:name w:val="מסקנות [א.] תוכן"/>
    <w:basedOn w:val="a3"/>
    <w:link w:val="afff2"/>
    <w:qFormat/>
    <w:rsid w:val="0065626D"/>
    <w:pPr>
      <w:tabs>
        <w:tab w:val="left" w:pos="340"/>
        <w:tab w:val="left" w:pos="680"/>
      </w:tabs>
      <w:overflowPunct w:val="0"/>
      <w:autoSpaceDE w:val="0"/>
      <w:autoSpaceDN w:val="0"/>
      <w:adjustRightInd w:val="0"/>
      <w:spacing w:before="120" w:after="120" w:line="250" w:lineRule="exact"/>
      <w:ind w:left="340" w:hanging="340"/>
      <w:textAlignment w:val="baseline"/>
    </w:pPr>
    <w:rPr>
      <w:rFonts w:eastAsia="Times New Roman"/>
      <w:sz w:val="20"/>
      <w:szCs w:val="24"/>
      <w:lang w:eastAsia="he-IL"/>
    </w:rPr>
  </w:style>
  <w:style w:type="character" w:customStyle="1" w:styleId="afff2">
    <w:name w:val="מסקנות [א.] תוכן תו"/>
    <w:basedOn w:val="a4"/>
    <w:link w:val="afff1"/>
    <w:rsid w:val="0065626D"/>
    <w:rPr>
      <w:rFonts w:eastAsia="Times New Roman" w:cs="FrankRuehl"/>
      <w:szCs w:val="24"/>
      <w:lang w:eastAsia="he-IL"/>
    </w:rPr>
  </w:style>
  <w:style w:type="paragraph" w:customStyle="1" w:styleId="afff3">
    <w:name w:val="בבית הדין הרבני"/>
    <w:basedOn w:val="a3"/>
    <w:next w:val="afff4"/>
    <w:link w:val="afff5"/>
    <w:rsid w:val="003D0A52"/>
    <w:pPr>
      <w:overflowPunct w:val="0"/>
      <w:autoSpaceDE w:val="0"/>
      <w:autoSpaceDN w:val="0"/>
      <w:adjustRightInd w:val="0"/>
      <w:spacing w:before="360" w:after="120" w:line="276" w:lineRule="exact"/>
      <w:jc w:val="center"/>
      <w:textAlignment w:val="baseline"/>
    </w:pPr>
    <w:rPr>
      <w:rFonts w:eastAsia="Times New Roman"/>
      <w:b/>
      <w:bCs/>
      <w:sz w:val="24"/>
      <w:lang w:eastAsia="he-IL"/>
    </w:rPr>
  </w:style>
  <w:style w:type="paragraph" w:customStyle="1" w:styleId="afff4">
    <w:name w:val="לפני כבוד הדיינים"/>
    <w:basedOn w:val="a3"/>
    <w:next w:val="aff1"/>
    <w:link w:val="afff6"/>
    <w:qFormat/>
    <w:rsid w:val="0065626D"/>
    <w:pPr>
      <w:overflowPunct w:val="0"/>
      <w:autoSpaceDE w:val="0"/>
      <w:autoSpaceDN w:val="0"/>
      <w:adjustRightInd w:val="0"/>
      <w:spacing w:after="120" w:line="276" w:lineRule="exact"/>
      <w:jc w:val="center"/>
      <w:textAlignment w:val="baseline"/>
    </w:pPr>
    <w:rPr>
      <w:rFonts w:eastAsia="Times New Roman"/>
      <w:szCs w:val="26"/>
      <w:lang w:eastAsia="he-IL"/>
    </w:rPr>
  </w:style>
  <w:style w:type="character" w:customStyle="1" w:styleId="afff6">
    <w:name w:val="לפני כבוד הדיינים תו"/>
    <w:basedOn w:val="a4"/>
    <w:link w:val="afff4"/>
    <w:rsid w:val="0065626D"/>
    <w:rPr>
      <w:rFonts w:eastAsia="Times New Roman" w:cs="FrankRuehl"/>
      <w:sz w:val="22"/>
      <w:szCs w:val="26"/>
      <w:lang w:eastAsia="he-IL"/>
    </w:rPr>
  </w:style>
  <w:style w:type="character" w:customStyle="1" w:styleId="afff5">
    <w:name w:val="בבית הדין הרבני תו"/>
    <w:basedOn w:val="a4"/>
    <w:link w:val="afff3"/>
    <w:rsid w:val="003D0A52"/>
    <w:rPr>
      <w:rFonts w:eastAsia="Times New Roman" w:cs="FrankRuehl"/>
      <w:b/>
      <w:bCs/>
      <w:sz w:val="24"/>
      <w:szCs w:val="28"/>
      <w:lang w:eastAsia="he-IL"/>
    </w:rPr>
  </w:style>
  <w:style w:type="paragraph" w:customStyle="1" w:styleId="15">
    <w:name w:val="מסקנות [א.(1)] תוכן"/>
    <w:basedOn w:val="a3"/>
    <w:link w:val="16"/>
    <w:qFormat/>
    <w:rsid w:val="0065626D"/>
    <w:pPr>
      <w:tabs>
        <w:tab w:val="left" w:pos="340"/>
        <w:tab w:val="left" w:pos="680"/>
      </w:tabs>
      <w:overflowPunct w:val="0"/>
      <w:autoSpaceDE w:val="0"/>
      <w:autoSpaceDN w:val="0"/>
      <w:adjustRightInd w:val="0"/>
      <w:spacing w:before="120" w:after="120" w:line="250" w:lineRule="exact"/>
      <w:ind w:left="680" w:hanging="680"/>
      <w:textAlignment w:val="baseline"/>
    </w:pPr>
    <w:rPr>
      <w:rFonts w:eastAsia="Times New Roman"/>
      <w:sz w:val="24"/>
      <w:szCs w:val="24"/>
      <w:lang w:eastAsia="he-IL"/>
    </w:rPr>
  </w:style>
  <w:style w:type="character" w:customStyle="1" w:styleId="16">
    <w:name w:val="מסקנות [א.(1)] תוכן תו"/>
    <w:basedOn w:val="a4"/>
    <w:link w:val="15"/>
    <w:rsid w:val="0065626D"/>
    <w:rPr>
      <w:rFonts w:eastAsia="Times New Roman" w:cs="FrankRuehl"/>
      <w:sz w:val="24"/>
      <w:szCs w:val="24"/>
      <w:lang w:eastAsia="he-IL"/>
    </w:rPr>
  </w:style>
  <w:style w:type="paragraph" w:customStyle="1" w:styleId="a">
    <w:name w:val="כללי [א.] ממוספר"/>
    <w:basedOn w:val="a3"/>
    <w:qFormat/>
    <w:rsid w:val="0065626D"/>
    <w:pPr>
      <w:numPr>
        <w:numId w:val="17"/>
      </w:numPr>
      <w:overflowPunct w:val="0"/>
      <w:autoSpaceDE w:val="0"/>
      <w:autoSpaceDN w:val="0"/>
      <w:adjustRightInd w:val="0"/>
      <w:spacing w:after="120" w:line="276" w:lineRule="auto"/>
      <w:ind w:left="794" w:hanging="397"/>
      <w:textAlignment w:val="baseline"/>
    </w:pPr>
    <w:rPr>
      <w:rFonts w:eastAsia="Times New Roman"/>
      <w:kern w:val="28"/>
      <w:szCs w:val="26"/>
    </w:rPr>
  </w:style>
  <w:style w:type="paragraph" w:customStyle="1" w:styleId="afff7">
    <w:name w:val="ראשי פרקים"/>
    <w:basedOn w:val="affe"/>
    <w:link w:val="afff8"/>
    <w:qFormat/>
    <w:rsid w:val="0065626D"/>
    <w:pPr>
      <w:tabs>
        <w:tab w:val="center" w:pos="3289"/>
      </w:tabs>
      <w:spacing w:before="240" w:after="240" w:line="360" w:lineRule="auto"/>
    </w:pPr>
    <w:rPr>
      <w:rFonts w:cs="Narkisim"/>
      <w:szCs w:val="22"/>
    </w:rPr>
  </w:style>
  <w:style w:type="character" w:customStyle="1" w:styleId="afff8">
    <w:name w:val="ראשי פרקים תו"/>
    <w:basedOn w:val="afff0"/>
    <w:link w:val="afff7"/>
    <w:rsid w:val="0065626D"/>
    <w:rPr>
      <w:rFonts w:eastAsia="Times New Roman" w:cs="Narkisim"/>
      <w:szCs w:val="22"/>
      <w:lang w:eastAsia="he-IL"/>
    </w:rPr>
  </w:style>
  <w:style w:type="character" w:customStyle="1" w:styleId="20">
    <w:name w:val="כותרת 2 תו"/>
    <w:basedOn w:val="a4"/>
    <w:link w:val="2"/>
    <w:uiPriority w:val="9"/>
    <w:rsid w:val="001F3BB4"/>
    <w:rPr>
      <w:rFonts w:eastAsia="Times New Roman" w:cs="Times New Roman"/>
      <w:b/>
      <w:bCs/>
      <w:sz w:val="50"/>
      <w:szCs w:val="50"/>
    </w:rPr>
  </w:style>
  <w:style w:type="paragraph" w:styleId="afff9">
    <w:name w:val="Balloon Text"/>
    <w:basedOn w:val="a3"/>
    <w:link w:val="afffa"/>
    <w:uiPriority w:val="99"/>
    <w:semiHidden/>
    <w:unhideWhenUsed/>
    <w:rsid w:val="001F3BB4"/>
    <w:pPr>
      <w:jc w:val="left"/>
    </w:pPr>
    <w:rPr>
      <w:rFonts w:ascii="Tahoma" w:hAnsi="Tahoma" w:cs="Tahoma"/>
      <w:sz w:val="16"/>
      <w:szCs w:val="16"/>
    </w:rPr>
  </w:style>
  <w:style w:type="character" w:customStyle="1" w:styleId="afffa">
    <w:name w:val="טקסט בלונים תו"/>
    <w:basedOn w:val="a4"/>
    <w:link w:val="afff9"/>
    <w:uiPriority w:val="99"/>
    <w:semiHidden/>
    <w:rsid w:val="001F3BB4"/>
    <w:rPr>
      <w:rFonts w:ascii="Tahoma" w:hAnsi="Tahoma" w:cs="Tahoma"/>
      <w:sz w:val="16"/>
      <w:szCs w:val="16"/>
    </w:rPr>
  </w:style>
  <w:style w:type="table" w:styleId="afffb">
    <w:name w:val="Table Grid"/>
    <w:basedOn w:val="a5"/>
    <w:uiPriority w:val="59"/>
    <w:rsid w:val="001F3BB4"/>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fc">
    <w:name w:val="Placeholder Text"/>
    <w:basedOn w:val="a4"/>
    <w:uiPriority w:val="99"/>
    <w:semiHidden/>
    <w:rsid w:val="001F3BB4"/>
    <w:rPr>
      <w:color w:val="808080"/>
    </w:rPr>
  </w:style>
  <w:style w:type="paragraph" w:styleId="NormalWeb">
    <w:name w:val="Normal (Web)"/>
    <w:basedOn w:val="a3"/>
    <w:uiPriority w:val="99"/>
    <w:semiHidden/>
    <w:unhideWhenUsed/>
    <w:rsid w:val="001F3BB4"/>
    <w:pPr>
      <w:bidi w:val="0"/>
      <w:spacing w:before="100" w:beforeAutospacing="1" w:after="100" w:afterAutospacing="1"/>
    </w:pPr>
    <w:rPr>
      <w:rFonts w:eastAsia="Times New Roman" w:cs="Times New Roman"/>
      <w:sz w:val="40"/>
      <w:szCs w:val="40"/>
    </w:rPr>
  </w:style>
  <w:style w:type="paragraph" w:customStyle="1" w:styleId="afffd">
    <w:name w:val="פרדס"/>
    <w:basedOn w:val="a3"/>
    <w:link w:val="afffe"/>
    <w:qFormat/>
    <w:rsid w:val="001F3BB4"/>
    <w:pPr>
      <w:spacing w:line="360" w:lineRule="auto"/>
    </w:pPr>
    <w:rPr>
      <w:rFonts w:ascii="Calibri" w:eastAsia="Calibri" w:hAnsi="Calibri"/>
      <w:sz w:val="28"/>
    </w:rPr>
  </w:style>
  <w:style w:type="character" w:customStyle="1" w:styleId="afffe">
    <w:name w:val="פרדס תו"/>
    <w:basedOn w:val="a4"/>
    <w:link w:val="afffd"/>
    <w:rsid w:val="001F3BB4"/>
    <w:rPr>
      <w:rFonts w:ascii="Calibri" w:eastAsia="Calibri" w:hAnsi="Calibri" w:cs="FrankRuehl"/>
      <w:sz w:val="28"/>
      <w:szCs w:val="28"/>
    </w:rPr>
  </w:style>
  <w:style w:type="character" w:styleId="Hyperlink">
    <w:name w:val="Hyperlink"/>
    <w:basedOn w:val="a4"/>
    <w:uiPriority w:val="99"/>
    <w:unhideWhenUsed/>
    <w:rsid w:val="00886B2D"/>
    <w:rPr>
      <w:color w:val="0000FF" w:themeColor="hyperlink"/>
      <w:u w:val="single"/>
    </w:rPr>
  </w:style>
  <w:style w:type="table" w:customStyle="1" w:styleId="TableGrid1">
    <w:name w:val="Table Grid1"/>
    <w:basedOn w:val="a5"/>
    <w:next w:val="afffb"/>
    <w:uiPriority w:val="59"/>
    <w:rsid w:val="00886B2D"/>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7">
    <w:name w:val="כותרת [א.] צד1"/>
    <w:basedOn w:val="a3"/>
    <w:next w:val="ae"/>
    <w:qFormat/>
    <w:rsid w:val="00297169"/>
    <w:pPr>
      <w:keepNext/>
      <w:tabs>
        <w:tab w:val="left" w:pos="397"/>
      </w:tabs>
      <w:spacing w:before="360" w:after="120" w:line="276" w:lineRule="auto"/>
      <w:ind w:left="360" w:hanging="360"/>
      <w:outlineLvl w:val="3"/>
    </w:pPr>
    <w:rPr>
      <w:rFonts w:ascii="Arial" w:eastAsia="Times New Roman" w:hAnsi="Arial" w:cs="Narkisim"/>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0429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wikipedia.org/wiki/%D7%9E%D7%A9%D7%A4%D7%98_%D7%91%D7%99%D7%9F-%D7%9C%D7%90%D7%95%D7%9E%D7%99_%D7%A4%D7%95%D7%9E%D7%91%D7%99" TargetMode="External"/><Relationship Id="rId13" Type="http://schemas.openxmlformats.org/officeDocument/2006/relationships/hyperlink" Target="https://he.wikipedia.org/wiki/%D7%A1%D7%95%D7%A6%D7%99%D7%95%D7%9C%D7%95%D7%92%D7%99%D7%94"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he.wikipedia.org/wiki/%D7%A4%D7%A1%D7%99%D7%9B%D7%95%D7%9C%D7%95%D7%92%D7%99%D7%94"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he.wikipedia.org/wiki/%D7%94%D7%90%D7%95%D7%9E%D7%95%D7%AA_%D7%94%D7%9E%D7%90%D7%95%D7%97%D7%93%D7%95%D7%AA"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wikipedia.org/wiki/%D7%9E%D7%9C%D7%97%D7%9E%D7%AA_%D7%94%D7%A2%D7%95%D7%9C%D7%9D_%D7%94%D7%A9%D7%A0%D7%99%D7%99%D7%94" TargetMode="External"/><Relationship Id="rId5" Type="http://schemas.openxmlformats.org/officeDocument/2006/relationships/webSettings" Target="webSettings.xml"/><Relationship Id="rId15" Type="http://schemas.openxmlformats.org/officeDocument/2006/relationships/hyperlink" Target="https://he.wikipedia.org/wiki/%D7%90%D7%9E%D7%A0%D7%AA_%D7%96%D7%9B%D7%95%D7%99%D7%95%D7%AA_%D7%94%D7%99%D7%9C%D7%93" TargetMode="External"/><Relationship Id="rId10" Type="http://schemas.openxmlformats.org/officeDocument/2006/relationships/hyperlink" Target="https://he.wikipedia.org/wiki/%D7%96%D7%9B%D7%95%D7%99%D7%95%D7%AA_%D7%94%D7%90%D7%93%D7%9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he.wikipedia.org/wiki/%D7%9E%D7%A9%D7%A4%D7%97%D7%94" TargetMode="External"/><Relationship Id="rId14" Type="http://schemas.openxmlformats.org/officeDocument/2006/relationships/hyperlink" Target="https://he.wikipedia.org/wiki/%D7%90%D7%A4%D7%95%D7%98%D7%A8%D7%95%D7%A4%D7%95%D7%A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D97E9228034249B54050DEE71AD3E7"/>
        <w:category>
          <w:name w:val="כללי"/>
          <w:gallery w:val="placeholder"/>
        </w:category>
        <w:types>
          <w:type w:val="bbPlcHdr"/>
        </w:types>
        <w:behaviors>
          <w:behavior w:val="content"/>
        </w:behaviors>
        <w:guid w:val="{4389B455-549C-4796-B5AB-48863FE3C7BA}"/>
      </w:docPartPr>
      <w:docPartBody>
        <w:p w:rsidR="00771E4C" w:rsidRDefault="00851AC8" w:rsidP="00851AC8">
          <w:pPr>
            <w:pStyle w:val="16D97E9228034249B54050DEE71AD3E7"/>
          </w:pPr>
          <w:r w:rsidRPr="00424C58">
            <w:rPr>
              <w:rStyle w:val="a3"/>
            </w:rPr>
            <w:t>Click here to enter text.</w:t>
          </w:r>
        </w:p>
      </w:docPartBody>
    </w:docPart>
    <w:docPart>
      <w:docPartPr>
        <w:name w:val="D5F747F7E1B54828BDF35EAEFE06A9E5"/>
        <w:category>
          <w:name w:val="כללי"/>
          <w:gallery w:val="placeholder"/>
        </w:category>
        <w:types>
          <w:type w:val="bbPlcHdr"/>
        </w:types>
        <w:behaviors>
          <w:behavior w:val="content"/>
        </w:behaviors>
        <w:guid w:val="{281EE31C-EE25-48A9-AF6E-481CF74BEB92}"/>
      </w:docPartPr>
      <w:docPartBody>
        <w:p w:rsidR="00771E4C" w:rsidRDefault="00851AC8" w:rsidP="00851AC8">
          <w:pPr>
            <w:pStyle w:val="D5F747F7E1B54828BDF35EAEFE06A9E5"/>
          </w:pPr>
          <w:r w:rsidRPr="00424C58">
            <w:rPr>
              <w:rStyle w:val="a3"/>
            </w:rPr>
            <w:t>Click here to enter text.</w:t>
          </w:r>
        </w:p>
      </w:docPartBody>
    </w:docPart>
    <w:docPart>
      <w:docPartPr>
        <w:name w:val="5790816245F4483083EDD0820865C0C8"/>
        <w:category>
          <w:name w:val="כללי"/>
          <w:gallery w:val="placeholder"/>
        </w:category>
        <w:types>
          <w:type w:val="bbPlcHdr"/>
        </w:types>
        <w:behaviors>
          <w:behavior w:val="content"/>
        </w:behaviors>
        <w:guid w:val="{BF742B1A-7488-4AC2-93B3-81A0265938CC}"/>
      </w:docPartPr>
      <w:docPartBody>
        <w:p w:rsidR="00771E4C" w:rsidRDefault="00851AC8" w:rsidP="00851AC8">
          <w:pPr>
            <w:pStyle w:val="5790816245F4483083EDD0820865C0C8"/>
          </w:pPr>
          <w:r w:rsidRPr="00424C58">
            <w:rPr>
              <w:rStyle w:val="a3"/>
            </w:rPr>
            <w:t>Click here to enter text.</w:t>
          </w:r>
        </w:p>
      </w:docPartBody>
    </w:docPart>
    <w:docPart>
      <w:docPartPr>
        <w:name w:val="56BA2F48056D4B60AEC90981693DCEEA"/>
        <w:category>
          <w:name w:val="כללי"/>
          <w:gallery w:val="placeholder"/>
        </w:category>
        <w:types>
          <w:type w:val="bbPlcHdr"/>
        </w:types>
        <w:behaviors>
          <w:behavior w:val="content"/>
        </w:behaviors>
        <w:guid w:val="{DC603B7D-94F0-42C1-84F1-84D07454B7D6}"/>
      </w:docPartPr>
      <w:docPartBody>
        <w:p w:rsidR="00771E4C" w:rsidRDefault="00851AC8" w:rsidP="00851AC8">
          <w:pPr>
            <w:pStyle w:val="56BA2F48056D4B60AEC90981693DCEEA"/>
          </w:pPr>
          <w:r w:rsidRPr="003D528A">
            <w:rPr>
              <w:rStyle w:val="a3"/>
            </w:rPr>
            <w:t>Click here to enter text.</w:t>
          </w:r>
        </w:p>
      </w:docPartBody>
    </w:docPart>
    <w:docPart>
      <w:docPartPr>
        <w:name w:val="F841871D9BFC4D458DB6A4A97D3E3852"/>
        <w:category>
          <w:name w:val="כללי"/>
          <w:gallery w:val="placeholder"/>
        </w:category>
        <w:types>
          <w:type w:val="bbPlcHdr"/>
        </w:types>
        <w:behaviors>
          <w:behavior w:val="content"/>
        </w:behaviors>
        <w:guid w:val="{6E438DB4-A8AE-49FD-913C-296457456709}"/>
      </w:docPartPr>
      <w:docPartBody>
        <w:p w:rsidR="00771E4C" w:rsidRDefault="00851AC8" w:rsidP="00851AC8">
          <w:pPr>
            <w:pStyle w:val="F841871D9BFC4D458DB6A4A97D3E3852"/>
          </w:pPr>
          <w:r w:rsidRPr="003D528A">
            <w:rPr>
              <w:rStyle w:val="a3"/>
            </w:rPr>
            <w:t>Click here to enter text.</w:t>
          </w:r>
        </w:p>
      </w:docPartBody>
    </w:docPart>
    <w:docPart>
      <w:docPartPr>
        <w:name w:val="EAA158870FE34206A436AB73277F3529"/>
        <w:category>
          <w:name w:val="כללי"/>
          <w:gallery w:val="placeholder"/>
        </w:category>
        <w:types>
          <w:type w:val="bbPlcHdr"/>
        </w:types>
        <w:behaviors>
          <w:behavior w:val="content"/>
        </w:behaviors>
        <w:guid w:val="{C50CC011-A030-4F0D-9303-1E651ABAEAB3}"/>
      </w:docPartPr>
      <w:docPartBody>
        <w:p w:rsidR="00771E4C" w:rsidRDefault="00851AC8" w:rsidP="00851AC8">
          <w:pPr>
            <w:pStyle w:val="EAA158870FE34206A436AB73277F3529"/>
          </w:pPr>
          <w:r w:rsidRPr="003D528A">
            <w:rPr>
              <w:rStyle w:val="a3"/>
            </w:rPr>
            <w:t>Click here to enter text.</w:t>
          </w:r>
        </w:p>
      </w:docPartBody>
    </w:docPart>
    <w:docPart>
      <w:docPartPr>
        <w:name w:val="0FC2702BD0C849B2AE42CF0C5E4FEEB8"/>
        <w:category>
          <w:name w:val="כללי"/>
          <w:gallery w:val="placeholder"/>
        </w:category>
        <w:types>
          <w:type w:val="bbPlcHdr"/>
        </w:types>
        <w:behaviors>
          <w:behavior w:val="content"/>
        </w:behaviors>
        <w:guid w:val="{F521848E-7635-4F6A-AA22-C25D0977FDAB}"/>
      </w:docPartPr>
      <w:docPartBody>
        <w:p w:rsidR="00771E4C" w:rsidRDefault="00851AC8" w:rsidP="00851AC8">
          <w:pPr>
            <w:pStyle w:val="0FC2702BD0C849B2AE42CF0C5E4FEEB8"/>
          </w:pPr>
          <w:r>
            <w:rPr>
              <w:rFonts w:cs="FrankRuehl" w:hint="cs"/>
              <w:color w:val="808080"/>
              <w:rtl/>
            </w:rPr>
            <w:t>שדה</w:t>
          </w:r>
        </w:p>
      </w:docPartBody>
    </w:docPart>
    <w:docPart>
      <w:docPartPr>
        <w:name w:val="8890173BB91A42A48C30708E089D582B"/>
        <w:category>
          <w:name w:val="כללי"/>
          <w:gallery w:val="placeholder"/>
        </w:category>
        <w:types>
          <w:type w:val="bbPlcHdr"/>
        </w:types>
        <w:behaviors>
          <w:behavior w:val="content"/>
        </w:behaviors>
        <w:guid w:val="{81738AE8-366C-457C-9083-A83D5DDF7B70}"/>
      </w:docPartPr>
      <w:docPartBody>
        <w:p w:rsidR="00F45545" w:rsidRDefault="00F45545" w:rsidP="00F45545">
          <w:pPr>
            <w:pStyle w:val="8890173BB91A42A48C30708E089D582B"/>
          </w:pPr>
          <w:r w:rsidRPr="00424C58">
            <w:rPr>
              <w:rStyle w:val="a3"/>
            </w:rPr>
            <w:t>Click here to enter text.</w:t>
          </w:r>
        </w:p>
      </w:docPartBody>
    </w:docPart>
    <w:docPart>
      <w:docPartPr>
        <w:name w:val="5D46D97B1B694DCA9847D0136FC448F2"/>
        <w:category>
          <w:name w:val="כללי"/>
          <w:gallery w:val="placeholder"/>
        </w:category>
        <w:types>
          <w:type w:val="bbPlcHdr"/>
        </w:types>
        <w:behaviors>
          <w:behavior w:val="content"/>
        </w:behaviors>
        <w:guid w:val="{F552502C-849D-4678-8F9B-9668BFD2E8B9}"/>
      </w:docPartPr>
      <w:docPartBody>
        <w:p w:rsidR="00F45545" w:rsidRDefault="00F45545" w:rsidP="00F45545">
          <w:pPr>
            <w:pStyle w:val="5D46D97B1B694DCA9847D0136FC448F2"/>
          </w:pPr>
          <w:r w:rsidRPr="00424C58">
            <w:rPr>
              <w:rStyle w:val="a3"/>
            </w:rPr>
            <w:t>Click here to enter text.</w:t>
          </w:r>
        </w:p>
      </w:docPartBody>
    </w:docPart>
    <w:docPart>
      <w:docPartPr>
        <w:name w:val="5880C26FEE984438BA56C7DC973B9C3F"/>
        <w:category>
          <w:name w:val="כללי"/>
          <w:gallery w:val="placeholder"/>
        </w:category>
        <w:types>
          <w:type w:val="bbPlcHdr"/>
        </w:types>
        <w:behaviors>
          <w:behavior w:val="content"/>
        </w:behaviors>
        <w:guid w:val="{E4C17CD5-4C41-4EB4-9A58-DD3404783704}"/>
      </w:docPartPr>
      <w:docPartBody>
        <w:p w:rsidR="00F45545" w:rsidRDefault="00F45545" w:rsidP="00F45545">
          <w:pPr>
            <w:pStyle w:val="5880C26FEE984438BA56C7DC973B9C3F"/>
          </w:pPr>
          <w:r w:rsidRPr="00424C58">
            <w:rPr>
              <w:rStyle w:val="a3"/>
            </w:rPr>
            <w:t>Click here to enter text.</w:t>
          </w:r>
        </w:p>
      </w:docPartBody>
    </w:docPart>
    <w:docPart>
      <w:docPartPr>
        <w:name w:val="CFFFE7ADA1B6423489987930F9287A20"/>
        <w:category>
          <w:name w:val="כללי"/>
          <w:gallery w:val="placeholder"/>
        </w:category>
        <w:types>
          <w:type w:val="bbPlcHdr"/>
        </w:types>
        <w:behaviors>
          <w:behavior w:val="content"/>
        </w:behaviors>
        <w:guid w:val="{D00D1C68-0443-46F1-86E3-9D47326058DF}"/>
      </w:docPartPr>
      <w:docPartBody>
        <w:p w:rsidR="00F45545" w:rsidRDefault="00F45545" w:rsidP="00F45545">
          <w:pPr>
            <w:pStyle w:val="CFFFE7ADA1B6423489987930F9287A20"/>
          </w:pPr>
          <w:r w:rsidRPr="00424C58">
            <w:rPr>
              <w:rStyle w:val="a3"/>
            </w:rPr>
            <w:t>Click here to enter text.</w:t>
          </w:r>
        </w:p>
      </w:docPartBody>
    </w:docPart>
    <w:docPart>
      <w:docPartPr>
        <w:name w:val="BB272551832A484F811A649E53011E49"/>
        <w:category>
          <w:name w:val="כללי"/>
          <w:gallery w:val="placeholder"/>
        </w:category>
        <w:types>
          <w:type w:val="bbPlcHdr"/>
        </w:types>
        <w:behaviors>
          <w:behavior w:val="content"/>
        </w:behaviors>
        <w:guid w:val="{62B36BDC-2334-4CC8-840B-CB95BCC7244B}"/>
      </w:docPartPr>
      <w:docPartBody>
        <w:p w:rsidR="00F45545" w:rsidRDefault="00F45545" w:rsidP="00F45545">
          <w:pPr>
            <w:pStyle w:val="BB272551832A484F811A649E53011E49"/>
          </w:pPr>
          <w:r w:rsidRPr="003D528A">
            <w:rPr>
              <w:rStyle w:val="a3"/>
            </w:rPr>
            <w:t>Click here to enter text.</w:t>
          </w:r>
        </w:p>
      </w:docPartBody>
    </w:docPart>
    <w:docPart>
      <w:docPartPr>
        <w:name w:val="6A3FEB00667244B4A46180494FC683D3"/>
        <w:category>
          <w:name w:val="כללי"/>
          <w:gallery w:val="placeholder"/>
        </w:category>
        <w:types>
          <w:type w:val="bbPlcHdr"/>
        </w:types>
        <w:behaviors>
          <w:behavior w:val="content"/>
        </w:behaviors>
        <w:guid w:val="{45FC25F3-D6CB-42C7-89CC-B8118B3D4AF8}"/>
      </w:docPartPr>
      <w:docPartBody>
        <w:p w:rsidR="00F45545" w:rsidRDefault="00F45545" w:rsidP="00F45545">
          <w:pPr>
            <w:pStyle w:val="6A3FEB00667244B4A46180494FC683D3"/>
          </w:pPr>
          <w:r w:rsidRPr="003D528A">
            <w:rPr>
              <w:rStyle w:val="a3"/>
            </w:rPr>
            <w:t>Click here to enter text.</w:t>
          </w:r>
        </w:p>
      </w:docPartBody>
    </w:docPart>
    <w:docPart>
      <w:docPartPr>
        <w:name w:val="58B06DE4CD0F43BE9B7960E8E9E8A1F5"/>
        <w:category>
          <w:name w:val="כללי"/>
          <w:gallery w:val="placeholder"/>
        </w:category>
        <w:types>
          <w:type w:val="bbPlcHdr"/>
        </w:types>
        <w:behaviors>
          <w:behavior w:val="content"/>
        </w:behaviors>
        <w:guid w:val="{95FDECC3-EC59-4683-8959-74FFB56472C6}"/>
      </w:docPartPr>
      <w:docPartBody>
        <w:p w:rsidR="00F45545" w:rsidRDefault="00F45545" w:rsidP="00F45545">
          <w:pPr>
            <w:pStyle w:val="58B06DE4CD0F43BE9B7960E8E9E8A1F5"/>
          </w:pPr>
          <w:r w:rsidRPr="003D528A">
            <w:rPr>
              <w:rStyle w:val="a3"/>
            </w:rPr>
            <w:t>Click here to enter text.</w:t>
          </w:r>
        </w:p>
      </w:docPartBody>
    </w:docPart>
    <w:docPart>
      <w:docPartPr>
        <w:name w:val="F37139A9CA654C50B8D58E71FB38ACC1"/>
        <w:category>
          <w:name w:val="כללי"/>
          <w:gallery w:val="placeholder"/>
        </w:category>
        <w:types>
          <w:type w:val="bbPlcHdr"/>
        </w:types>
        <w:behaviors>
          <w:behavior w:val="content"/>
        </w:behaviors>
        <w:guid w:val="{D4124ECA-30DD-427A-BCB0-2A685D528505}"/>
      </w:docPartPr>
      <w:docPartBody>
        <w:p w:rsidR="00F45545" w:rsidRDefault="00F45545" w:rsidP="00F45545">
          <w:pPr>
            <w:pStyle w:val="F37139A9CA654C50B8D58E71FB38ACC1"/>
          </w:pPr>
          <w:r w:rsidRPr="003D528A">
            <w:rPr>
              <w:rStyle w:val="a3"/>
            </w:rPr>
            <w:t>Click here to enter text.</w:t>
          </w:r>
        </w:p>
      </w:docPartBody>
    </w:docPart>
    <w:docPart>
      <w:docPartPr>
        <w:name w:val="C15906E138A74247A5D94C53A2BE2966"/>
        <w:category>
          <w:name w:val="כללי"/>
          <w:gallery w:val="placeholder"/>
        </w:category>
        <w:types>
          <w:type w:val="bbPlcHdr"/>
        </w:types>
        <w:behaviors>
          <w:behavior w:val="content"/>
        </w:behaviors>
        <w:guid w:val="{A9480D46-7036-4A8D-BADA-659B05C945F1}"/>
      </w:docPartPr>
      <w:docPartBody>
        <w:p w:rsidR="00F45545" w:rsidRDefault="00F45545" w:rsidP="00F45545">
          <w:pPr>
            <w:pStyle w:val="C15906E138A74247A5D94C53A2BE2966"/>
          </w:pPr>
          <w:r>
            <w:rPr>
              <w:rFonts w:cs="FrankRuehl" w:hint="cs"/>
              <w:color w:val="808080"/>
              <w:rtl/>
            </w:rPr>
            <w:t>שדה</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1"/>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21D"/>
    <w:rsid w:val="0007219D"/>
    <w:rsid w:val="000E0353"/>
    <w:rsid w:val="00256DE7"/>
    <w:rsid w:val="005C1796"/>
    <w:rsid w:val="00771E4C"/>
    <w:rsid w:val="0081638C"/>
    <w:rsid w:val="00851AC8"/>
    <w:rsid w:val="008B7AB7"/>
    <w:rsid w:val="009A67E6"/>
    <w:rsid w:val="009C65EC"/>
    <w:rsid w:val="009E2CB1"/>
    <w:rsid w:val="00A43E87"/>
    <w:rsid w:val="00AC796E"/>
    <w:rsid w:val="00BA321D"/>
    <w:rsid w:val="00CE09F2"/>
    <w:rsid w:val="00DE3BA9"/>
    <w:rsid w:val="00F31664"/>
    <w:rsid w:val="00F45545"/>
    <w:rsid w:val="00FD542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45545"/>
    <w:rPr>
      <w:color w:val="808080"/>
    </w:rPr>
  </w:style>
  <w:style w:type="paragraph" w:customStyle="1" w:styleId="16D97E9228034249B54050DEE71AD3E7">
    <w:name w:val="16D97E9228034249B54050DEE71AD3E7"/>
    <w:rsid w:val="00851AC8"/>
    <w:pPr>
      <w:bidi/>
      <w:spacing w:line="278" w:lineRule="auto"/>
    </w:pPr>
    <w:rPr>
      <w:kern w:val="2"/>
      <w:sz w:val="24"/>
      <w:szCs w:val="24"/>
      <w14:ligatures w14:val="standardContextual"/>
    </w:rPr>
  </w:style>
  <w:style w:type="paragraph" w:customStyle="1" w:styleId="D5F747F7E1B54828BDF35EAEFE06A9E5">
    <w:name w:val="D5F747F7E1B54828BDF35EAEFE06A9E5"/>
    <w:rsid w:val="00851AC8"/>
    <w:pPr>
      <w:bidi/>
      <w:spacing w:line="278" w:lineRule="auto"/>
    </w:pPr>
    <w:rPr>
      <w:kern w:val="2"/>
      <w:sz w:val="24"/>
      <w:szCs w:val="24"/>
      <w14:ligatures w14:val="standardContextual"/>
    </w:rPr>
  </w:style>
  <w:style w:type="paragraph" w:customStyle="1" w:styleId="5790816245F4483083EDD0820865C0C8">
    <w:name w:val="5790816245F4483083EDD0820865C0C8"/>
    <w:rsid w:val="00851AC8"/>
    <w:pPr>
      <w:bidi/>
      <w:spacing w:line="278" w:lineRule="auto"/>
    </w:pPr>
    <w:rPr>
      <w:kern w:val="2"/>
      <w:sz w:val="24"/>
      <w:szCs w:val="24"/>
      <w14:ligatures w14:val="standardContextual"/>
    </w:rPr>
  </w:style>
  <w:style w:type="paragraph" w:customStyle="1" w:styleId="8890173BB91A42A48C30708E089D582B">
    <w:name w:val="8890173BB91A42A48C30708E089D582B"/>
    <w:rsid w:val="00F45545"/>
    <w:pPr>
      <w:bidi/>
      <w:spacing w:line="278" w:lineRule="auto"/>
    </w:pPr>
    <w:rPr>
      <w:kern w:val="2"/>
      <w:sz w:val="24"/>
      <w:szCs w:val="24"/>
      <w14:ligatures w14:val="standardContextual"/>
    </w:rPr>
  </w:style>
  <w:style w:type="paragraph" w:customStyle="1" w:styleId="56BA2F48056D4B60AEC90981693DCEEA">
    <w:name w:val="56BA2F48056D4B60AEC90981693DCEEA"/>
    <w:rsid w:val="00851AC8"/>
    <w:pPr>
      <w:bidi/>
      <w:spacing w:line="278" w:lineRule="auto"/>
    </w:pPr>
    <w:rPr>
      <w:kern w:val="2"/>
      <w:sz w:val="24"/>
      <w:szCs w:val="24"/>
      <w14:ligatures w14:val="standardContextual"/>
    </w:rPr>
  </w:style>
  <w:style w:type="paragraph" w:customStyle="1" w:styleId="F841871D9BFC4D458DB6A4A97D3E3852">
    <w:name w:val="F841871D9BFC4D458DB6A4A97D3E3852"/>
    <w:rsid w:val="00851AC8"/>
    <w:pPr>
      <w:bidi/>
      <w:spacing w:line="278" w:lineRule="auto"/>
    </w:pPr>
    <w:rPr>
      <w:kern w:val="2"/>
      <w:sz w:val="24"/>
      <w:szCs w:val="24"/>
      <w14:ligatures w14:val="standardContextual"/>
    </w:rPr>
  </w:style>
  <w:style w:type="paragraph" w:customStyle="1" w:styleId="EAA158870FE34206A436AB73277F3529">
    <w:name w:val="EAA158870FE34206A436AB73277F3529"/>
    <w:rsid w:val="00851AC8"/>
    <w:pPr>
      <w:bidi/>
      <w:spacing w:line="278" w:lineRule="auto"/>
    </w:pPr>
    <w:rPr>
      <w:kern w:val="2"/>
      <w:sz w:val="24"/>
      <w:szCs w:val="24"/>
      <w14:ligatures w14:val="standardContextual"/>
    </w:rPr>
  </w:style>
  <w:style w:type="paragraph" w:customStyle="1" w:styleId="0FC2702BD0C849B2AE42CF0C5E4FEEB8">
    <w:name w:val="0FC2702BD0C849B2AE42CF0C5E4FEEB8"/>
    <w:rsid w:val="00851AC8"/>
    <w:pPr>
      <w:bidi/>
      <w:spacing w:line="278" w:lineRule="auto"/>
    </w:pPr>
    <w:rPr>
      <w:kern w:val="2"/>
      <w:sz w:val="24"/>
      <w:szCs w:val="24"/>
      <w14:ligatures w14:val="standardContextual"/>
    </w:rPr>
  </w:style>
  <w:style w:type="paragraph" w:customStyle="1" w:styleId="5D46D97B1B694DCA9847D0136FC448F2">
    <w:name w:val="5D46D97B1B694DCA9847D0136FC448F2"/>
    <w:rsid w:val="00F45545"/>
    <w:pPr>
      <w:bidi/>
      <w:spacing w:line="278" w:lineRule="auto"/>
    </w:pPr>
    <w:rPr>
      <w:kern w:val="2"/>
      <w:sz w:val="24"/>
      <w:szCs w:val="24"/>
      <w14:ligatures w14:val="standardContextual"/>
    </w:rPr>
  </w:style>
  <w:style w:type="paragraph" w:customStyle="1" w:styleId="5880C26FEE984438BA56C7DC973B9C3F">
    <w:name w:val="5880C26FEE984438BA56C7DC973B9C3F"/>
    <w:rsid w:val="00F45545"/>
    <w:pPr>
      <w:bidi/>
      <w:spacing w:line="278" w:lineRule="auto"/>
    </w:pPr>
    <w:rPr>
      <w:kern w:val="2"/>
      <w:sz w:val="24"/>
      <w:szCs w:val="24"/>
      <w14:ligatures w14:val="standardContextual"/>
    </w:rPr>
  </w:style>
  <w:style w:type="paragraph" w:customStyle="1" w:styleId="CFFFE7ADA1B6423489987930F9287A20">
    <w:name w:val="CFFFE7ADA1B6423489987930F9287A20"/>
    <w:rsid w:val="00F45545"/>
    <w:pPr>
      <w:bidi/>
      <w:spacing w:line="278" w:lineRule="auto"/>
    </w:pPr>
    <w:rPr>
      <w:kern w:val="2"/>
      <w:sz w:val="24"/>
      <w:szCs w:val="24"/>
      <w14:ligatures w14:val="standardContextual"/>
    </w:rPr>
  </w:style>
  <w:style w:type="paragraph" w:customStyle="1" w:styleId="BB272551832A484F811A649E53011E49">
    <w:name w:val="BB272551832A484F811A649E53011E49"/>
    <w:rsid w:val="00F45545"/>
    <w:pPr>
      <w:bidi/>
      <w:spacing w:line="278" w:lineRule="auto"/>
    </w:pPr>
    <w:rPr>
      <w:kern w:val="2"/>
      <w:sz w:val="24"/>
      <w:szCs w:val="24"/>
      <w14:ligatures w14:val="standardContextual"/>
    </w:rPr>
  </w:style>
  <w:style w:type="paragraph" w:customStyle="1" w:styleId="6A3FEB00667244B4A46180494FC683D3">
    <w:name w:val="6A3FEB00667244B4A46180494FC683D3"/>
    <w:rsid w:val="00F45545"/>
    <w:pPr>
      <w:bidi/>
      <w:spacing w:line="278" w:lineRule="auto"/>
    </w:pPr>
    <w:rPr>
      <w:kern w:val="2"/>
      <w:sz w:val="24"/>
      <w:szCs w:val="24"/>
      <w14:ligatures w14:val="standardContextual"/>
    </w:rPr>
  </w:style>
  <w:style w:type="paragraph" w:customStyle="1" w:styleId="58B06DE4CD0F43BE9B7960E8E9E8A1F5">
    <w:name w:val="58B06DE4CD0F43BE9B7960E8E9E8A1F5"/>
    <w:rsid w:val="00F45545"/>
    <w:pPr>
      <w:bidi/>
      <w:spacing w:line="278" w:lineRule="auto"/>
    </w:pPr>
    <w:rPr>
      <w:kern w:val="2"/>
      <w:sz w:val="24"/>
      <w:szCs w:val="24"/>
      <w14:ligatures w14:val="standardContextual"/>
    </w:rPr>
  </w:style>
  <w:style w:type="paragraph" w:customStyle="1" w:styleId="F37139A9CA654C50B8D58E71FB38ACC1">
    <w:name w:val="F37139A9CA654C50B8D58E71FB38ACC1"/>
    <w:rsid w:val="00F45545"/>
    <w:pPr>
      <w:bidi/>
      <w:spacing w:line="278" w:lineRule="auto"/>
    </w:pPr>
    <w:rPr>
      <w:kern w:val="2"/>
      <w:sz w:val="24"/>
      <w:szCs w:val="24"/>
      <w14:ligatures w14:val="standardContextual"/>
    </w:rPr>
  </w:style>
  <w:style w:type="paragraph" w:customStyle="1" w:styleId="C15906E138A74247A5D94C53A2BE2966">
    <w:name w:val="C15906E138A74247A5D94C53A2BE2966"/>
    <w:rsid w:val="00F45545"/>
    <w:pPr>
      <w:bidi/>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4A733-FBFE-4B2E-9613-D3C4F6AC1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6489</Words>
  <Characters>32449</Characters>
  <Application>Microsoft Office Word</Application>
  <DocSecurity>0</DocSecurity>
  <Lines>270</Lines>
  <Paragraphs>77</Paragraphs>
  <ScaleCrop>false</ScaleCrop>
  <HeadingPairs>
    <vt:vector size="2" baseType="variant">
      <vt:variant>
        <vt:lpstr>שם</vt:lpstr>
      </vt:variant>
      <vt:variant>
        <vt:i4>1</vt:i4>
      </vt:variant>
    </vt:vector>
  </HeadingPairs>
  <TitlesOfParts>
    <vt:vector size="1" baseType="lpstr">
      <vt:lpstr>חלוקת רכוש</vt:lpstr>
    </vt:vector>
  </TitlesOfParts>
  <Company>HP</Company>
  <LinksUpToDate>false</LinksUpToDate>
  <CharactersWithSpaces>38861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חלוקת רכוש</dc:title>
  <dc:creator>הרב צבי בירנבאום - אב"ד, הרב אריה אוריאל - אב"ד, הרב נפתלי הייזלר, הרב בן ציון טופיק,</dc:creator>
  <cp:keywords>תוקף הסכם גירושין לפני הגירושין, נפטר, בטל מקצת ההסכם</cp:keywords>
  <cp:lastModifiedBy>יהודה שקדי</cp:lastModifiedBy>
  <cp:revision>2</cp:revision>
  <dcterms:created xsi:type="dcterms:W3CDTF">2026-08-16T05:51:00Z</dcterms:created>
  <dcterms:modified xsi:type="dcterms:W3CDTF">2026-08-16T05:51:00Z</dcterms:modified>
</cp:coreProperties>
</file>