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2AD1" w14:textId="77777777" w:rsidR="006E7140" w:rsidRPr="00D93CE5" w:rsidRDefault="006E7140" w:rsidP="003D0A52">
      <w:pPr>
        <w:pStyle w:val="ae"/>
      </w:pPr>
      <w:bookmarkStart w:id="0" w:name="_Hlk230694455"/>
      <w:r w:rsidRPr="00D93CE5">
        <w:rPr>
          <w:rFonts w:hint="cs"/>
          <w:rtl/>
        </w:rPr>
        <w:t>ב"ה</w:t>
      </w:r>
    </w:p>
    <w:p w14:paraId="5FC36C90" w14:textId="1A81B14E" w:rsidR="006E7140" w:rsidRPr="003D0A52" w:rsidRDefault="006E7140" w:rsidP="003D0A52">
      <w:pPr>
        <w:pStyle w:val="aff9"/>
        <w:rPr>
          <w:rtl/>
        </w:rPr>
      </w:pPr>
      <w:r w:rsidRPr="003D0A52">
        <w:rPr>
          <w:rFonts w:hint="cs"/>
          <w:rtl/>
        </w:rPr>
        <w:t xml:space="preserve">תיק </w:t>
      </w:r>
      <w:r w:rsidRPr="003D0A52">
        <w:rPr>
          <w:rtl/>
        </w:rPr>
        <w:t>‏</w:t>
      </w:r>
      <w:r w:rsidR="006329DF">
        <w:rPr>
          <w:rFonts w:hint="cs"/>
          <w:rtl/>
        </w:rPr>
        <w:t>1406857/5</w:t>
      </w:r>
    </w:p>
    <w:p w14:paraId="6728CBF1" w14:textId="2CD431B7" w:rsidR="006E7140" w:rsidRPr="003D0A52" w:rsidRDefault="006E7140" w:rsidP="003D0A52">
      <w:pPr>
        <w:pStyle w:val="afff3"/>
        <w:rPr>
          <w:rtl/>
        </w:rPr>
      </w:pPr>
      <w:r w:rsidRPr="003D0A52">
        <w:rPr>
          <w:rFonts w:hint="cs"/>
          <w:rtl/>
        </w:rPr>
        <w:t xml:space="preserve">בבית הדין הרבני </w:t>
      </w:r>
      <w:r w:rsidR="00886B2D">
        <w:rPr>
          <w:rFonts w:hint="cs"/>
          <w:rtl/>
        </w:rPr>
        <w:t xml:space="preserve">האזורי </w:t>
      </w:r>
      <w:r w:rsidR="006329DF">
        <w:rPr>
          <w:rFonts w:hint="cs"/>
          <w:rtl/>
        </w:rPr>
        <w:t>תל אביב יפו</w:t>
      </w:r>
    </w:p>
    <w:p w14:paraId="2324D184" w14:textId="29539665" w:rsidR="006E7140" w:rsidRDefault="006E7140" w:rsidP="006E7140">
      <w:pPr>
        <w:pStyle w:val="afff4"/>
        <w:rPr>
          <w:rtl/>
        </w:rPr>
      </w:pPr>
      <w:r w:rsidRPr="00D93CE5">
        <w:rPr>
          <w:rFonts w:hint="cs"/>
          <w:rtl/>
        </w:rPr>
        <w:t>לפני כבוד הדיינים:</w:t>
      </w:r>
    </w:p>
    <w:p w14:paraId="2DF5C65F" w14:textId="7D97E0E4" w:rsidR="00297169" w:rsidRPr="000155CC" w:rsidRDefault="00297169" w:rsidP="00297169">
      <w:pPr>
        <w:pStyle w:val="aff1"/>
        <w:rPr>
          <w:rtl/>
        </w:rPr>
      </w:pPr>
      <w:r w:rsidRPr="00BE2E0A">
        <w:rPr>
          <w:rFonts w:hint="cs"/>
          <w:sz w:val="28"/>
          <w:rtl/>
        </w:rPr>
        <w:t xml:space="preserve">הרב </w:t>
      </w:r>
      <w:r w:rsidR="006329DF">
        <w:rPr>
          <w:rFonts w:hint="cs"/>
          <w:sz w:val="28"/>
          <w:rtl/>
        </w:rPr>
        <w:t xml:space="preserve">אבירן יצחק הלוי </w:t>
      </w:r>
      <w:r w:rsidR="006329DF">
        <w:rPr>
          <w:sz w:val="28"/>
          <w:rtl/>
        </w:rPr>
        <w:t>–</w:t>
      </w:r>
      <w:r w:rsidR="006329DF">
        <w:rPr>
          <w:rFonts w:hint="cs"/>
          <w:sz w:val="28"/>
          <w:rtl/>
        </w:rPr>
        <w:t xml:space="preserve"> אב"ד, הרב משה שלום שור, הרב בן ציון ציוני </w:t>
      </w:r>
    </w:p>
    <w:p w14:paraId="007D51D0" w14:textId="23675BCF" w:rsidR="006E7140" w:rsidRPr="00297169" w:rsidRDefault="00297169" w:rsidP="00297169">
      <w:pPr>
        <w:pStyle w:val="affb"/>
        <w:rPr>
          <w:sz w:val="24"/>
          <w:szCs w:val="24"/>
          <w:rtl/>
        </w:rPr>
      </w:pPr>
      <w:r>
        <w:rPr>
          <w:rFonts w:hint="cs"/>
          <w:rtl/>
        </w:rPr>
        <w:t>המ</w:t>
      </w:r>
      <w:r w:rsidR="006329DF">
        <w:rPr>
          <w:rFonts w:hint="cs"/>
          <w:rtl/>
        </w:rPr>
        <w:t>בקשת:</w:t>
      </w:r>
      <w:r w:rsidR="006E7140" w:rsidRPr="003D0A52">
        <w:rPr>
          <w:rtl/>
        </w:rPr>
        <w:tab/>
      </w:r>
      <w:r w:rsidR="006E7140" w:rsidRPr="003D0A52">
        <w:rPr>
          <w:rFonts w:hint="cs"/>
          <w:rtl/>
        </w:rPr>
        <w:t>פלוני</w:t>
      </w:r>
      <w:r w:rsidR="00886B2D">
        <w:rPr>
          <w:rFonts w:hint="cs"/>
          <w:rtl/>
        </w:rPr>
        <w:t>ת</w:t>
      </w:r>
      <w:r w:rsidR="00886B2D">
        <w:rPr>
          <w:rFonts w:hint="cs"/>
          <w:sz w:val="22"/>
          <w:szCs w:val="28"/>
          <w:rtl/>
        </w:rPr>
        <w:t xml:space="preserve"> </w:t>
      </w:r>
      <w:r w:rsidR="006E7140" w:rsidRPr="003D0A52">
        <w:rPr>
          <w:rFonts w:hint="cs"/>
          <w:sz w:val="22"/>
          <w:szCs w:val="28"/>
          <w:rtl/>
        </w:rPr>
        <w:t xml:space="preserve"> </w:t>
      </w:r>
      <w:r>
        <w:rPr>
          <w:rFonts w:ascii="Calibri" w:eastAsia="Calibri" w:hAnsi="Calibri" w:cs="Arial" w:hint="cs"/>
          <w:sz w:val="20"/>
          <w:szCs w:val="20"/>
          <w:rtl/>
          <w:lang w:eastAsia="en-US"/>
        </w:rPr>
        <w:t>(</w:t>
      </w:r>
      <w:r w:rsidRPr="00297169">
        <w:rPr>
          <w:rFonts w:hint="cs"/>
          <w:sz w:val="24"/>
          <w:szCs w:val="24"/>
          <w:rtl/>
        </w:rPr>
        <w:t xml:space="preserve">ע"י ב"כ עו"ד </w:t>
      </w:r>
      <w:r w:rsidR="006329DF">
        <w:rPr>
          <w:rFonts w:hint="cs"/>
          <w:sz w:val="24"/>
          <w:szCs w:val="24"/>
          <w:rtl/>
        </w:rPr>
        <w:t>מרדכי גרוס ועו"ד גלית מסיקה ועו"ד קובי חן ועו"ד רונן דליהו</w:t>
      </w:r>
      <w:r w:rsidRPr="00297169">
        <w:rPr>
          <w:rFonts w:hint="cs"/>
          <w:sz w:val="24"/>
          <w:szCs w:val="24"/>
          <w:rtl/>
        </w:rPr>
        <w:t>)</w:t>
      </w:r>
    </w:p>
    <w:p w14:paraId="62B854F4" w14:textId="77777777" w:rsidR="006E7140" w:rsidRPr="00297169" w:rsidRDefault="006E7140" w:rsidP="003D0A52">
      <w:pPr>
        <w:pStyle w:val="affb"/>
        <w:rPr>
          <w:sz w:val="24"/>
          <w:szCs w:val="24"/>
          <w:rtl/>
        </w:rPr>
      </w:pPr>
      <w:r w:rsidRPr="00297169">
        <w:rPr>
          <w:sz w:val="24"/>
          <w:szCs w:val="24"/>
          <w:rtl/>
        </w:rPr>
        <w:t>נגד</w:t>
      </w:r>
    </w:p>
    <w:p w14:paraId="549FFDEA" w14:textId="7F4C68F7" w:rsidR="006E7140" w:rsidRPr="00297169" w:rsidRDefault="006E7140" w:rsidP="003D0A52">
      <w:pPr>
        <w:pStyle w:val="affb"/>
        <w:rPr>
          <w:sz w:val="24"/>
          <w:szCs w:val="24"/>
          <w:rtl/>
        </w:rPr>
      </w:pPr>
      <w:r>
        <w:rPr>
          <w:rFonts w:hint="cs"/>
          <w:rtl/>
        </w:rPr>
        <w:t>ה</w:t>
      </w:r>
      <w:r w:rsidR="00297169">
        <w:rPr>
          <w:rFonts w:hint="cs"/>
          <w:rtl/>
        </w:rPr>
        <w:t>משיב</w:t>
      </w:r>
      <w:r>
        <w:rPr>
          <w:rFonts w:hint="cs"/>
          <w:rtl/>
        </w:rPr>
        <w:t>:</w:t>
      </w:r>
      <w:r>
        <w:rPr>
          <w:rtl/>
        </w:rPr>
        <w:tab/>
      </w:r>
      <w:r>
        <w:rPr>
          <w:rFonts w:hint="cs"/>
          <w:rtl/>
        </w:rPr>
        <w:t>פלוני</w:t>
      </w:r>
      <w:r w:rsidR="00E462B3">
        <w:rPr>
          <w:rFonts w:hint="cs"/>
          <w:rtl/>
        </w:rPr>
        <w:t xml:space="preserve"> </w:t>
      </w:r>
      <w:r w:rsidR="00297169">
        <w:rPr>
          <w:rFonts w:hint="cs"/>
          <w:rtl/>
        </w:rPr>
        <w:t>(</w:t>
      </w:r>
      <w:r w:rsidR="00297169" w:rsidRPr="006329DF">
        <w:rPr>
          <w:rFonts w:hint="cs"/>
          <w:sz w:val="24"/>
          <w:szCs w:val="24"/>
          <w:rtl/>
        </w:rPr>
        <w:t>ע"י</w:t>
      </w:r>
      <w:r w:rsidR="00297169">
        <w:rPr>
          <w:rFonts w:hint="cs"/>
          <w:rtl/>
        </w:rPr>
        <w:t xml:space="preserve"> </w:t>
      </w:r>
      <w:r w:rsidR="00297169" w:rsidRPr="00297169">
        <w:rPr>
          <w:rFonts w:hint="cs"/>
          <w:sz w:val="24"/>
          <w:szCs w:val="24"/>
          <w:rtl/>
        </w:rPr>
        <w:t xml:space="preserve">ב"כ עו"ד </w:t>
      </w:r>
      <w:r w:rsidR="006329DF">
        <w:rPr>
          <w:rFonts w:hint="cs"/>
          <w:sz w:val="24"/>
          <w:szCs w:val="24"/>
          <w:rtl/>
        </w:rPr>
        <w:t xml:space="preserve">ליאורה </w:t>
      </w:r>
      <w:proofErr w:type="spellStart"/>
      <w:r w:rsidR="006329DF">
        <w:rPr>
          <w:rFonts w:hint="cs"/>
          <w:sz w:val="24"/>
          <w:szCs w:val="24"/>
          <w:rtl/>
        </w:rPr>
        <w:t>ברטלר</w:t>
      </w:r>
      <w:proofErr w:type="spellEnd"/>
      <w:r w:rsidR="006329DF">
        <w:rPr>
          <w:rFonts w:hint="cs"/>
          <w:sz w:val="24"/>
          <w:szCs w:val="24"/>
          <w:rtl/>
        </w:rPr>
        <w:t xml:space="preserve"> </w:t>
      </w:r>
      <w:proofErr w:type="spellStart"/>
      <w:r w:rsidR="00C805A8">
        <w:rPr>
          <w:rFonts w:hint="cs"/>
          <w:sz w:val="24"/>
          <w:szCs w:val="24"/>
          <w:rtl/>
        </w:rPr>
        <w:t>צ</w:t>
      </w:r>
      <w:r w:rsidR="006329DF">
        <w:rPr>
          <w:rFonts w:hint="cs"/>
          <w:sz w:val="24"/>
          <w:szCs w:val="24"/>
          <w:rtl/>
        </w:rPr>
        <w:t>אפאל</w:t>
      </w:r>
      <w:proofErr w:type="spellEnd"/>
      <w:r w:rsidR="006329DF">
        <w:rPr>
          <w:rFonts w:hint="cs"/>
          <w:sz w:val="24"/>
          <w:szCs w:val="24"/>
          <w:rtl/>
        </w:rPr>
        <w:t xml:space="preserve"> ועו"ד דבי תורג'מן</w:t>
      </w:r>
      <w:r w:rsidR="00297169" w:rsidRPr="00297169">
        <w:rPr>
          <w:rFonts w:hint="cs"/>
          <w:sz w:val="24"/>
          <w:szCs w:val="24"/>
          <w:rtl/>
        </w:rPr>
        <w:t>)</w:t>
      </w:r>
    </w:p>
    <w:p w14:paraId="18DCE72E" w14:textId="249F6135" w:rsidR="006E7140" w:rsidRDefault="006E7140" w:rsidP="00D02377">
      <w:pPr>
        <w:pStyle w:val="affd"/>
        <w:rPr>
          <w:rFonts w:ascii="Times New Roman" w:hAnsi="Times New Roman" w:cs="FrankRuehl"/>
          <w:b w:val="0"/>
          <w:noProof w:val="0"/>
          <w:sz w:val="24"/>
          <w:szCs w:val="24"/>
          <w:rtl/>
        </w:rPr>
      </w:pPr>
      <w:r w:rsidRPr="00E462B3">
        <w:rPr>
          <w:rtl/>
        </w:rPr>
        <w:t>הנדון:</w:t>
      </w:r>
      <w:r w:rsidRPr="00E462B3">
        <w:rPr>
          <w:rFonts w:hint="cs"/>
          <w:rtl/>
        </w:rPr>
        <w:t xml:space="preserve"> </w:t>
      </w:r>
      <w:r w:rsidR="003E7B8A" w:rsidRPr="00E462B3">
        <w:rPr>
          <w:rFonts w:hint="cs"/>
          <w:rtl/>
        </w:rPr>
        <w:t xml:space="preserve">שכר כונס </w:t>
      </w:r>
      <w:r w:rsidR="00531EBD">
        <w:rPr>
          <w:rFonts w:hint="cs"/>
          <w:rtl/>
        </w:rPr>
        <w:t xml:space="preserve">נכסים </w:t>
      </w:r>
      <w:r w:rsidR="003E7B8A" w:rsidRPr="00E462B3">
        <w:rPr>
          <w:rFonts w:hint="cs"/>
          <w:rtl/>
        </w:rPr>
        <w:t>שהצדדים בקשו לסיים את תפקידו</w:t>
      </w:r>
    </w:p>
    <w:p w14:paraId="7B977CCA" w14:textId="38FDB05B" w:rsidR="002F7A35" w:rsidRDefault="003E7B8A" w:rsidP="002F7A35">
      <w:pPr>
        <w:pStyle w:val="afb"/>
        <w:rPr>
          <w:rtl/>
        </w:rPr>
      </w:pPr>
      <w:r>
        <w:rPr>
          <w:rFonts w:hint="cs"/>
          <w:rtl/>
        </w:rPr>
        <w:t>פסק דין</w:t>
      </w:r>
    </w:p>
    <w:p w14:paraId="4A36DD95" w14:textId="464BEB54" w:rsidR="002F7A35" w:rsidRPr="00E86E82" w:rsidRDefault="00501235" w:rsidP="00C805A8">
      <w:pPr>
        <w:pStyle w:val="ae"/>
        <w:rPr>
          <w:rtl/>
        </w:rPr>
      </w:pPr>
      <w:r>
        <w:rPr>
          <w:rFonts w:hint="cs"/>
          <w:rtl/>
        </w:rPr>
        <w:t>ביום 4</w:t>
      </w:r>
      <w:r w:rsidR="00D54F4A">
        <w:rPr>
          <w:rFonts w:hint="cs"/>
          <w:rtl/>
        </w:rPr>
        <w:t>.</w:t>
      </w:r>
      <w:r>
        <w:rPr>
          <w:rFonts w:hint="cs"/>
          <w:rtl/>
        </w:rPr>
        <w:t>5</w:t>
      </w:r>
      <w:r w:rsidR="00D54F4A">
        <w:rPr>
          <w:rFonts w:hint="cs"/>
          <w:rtl/>
        </w:rPr>
        <w:t>.</w:t>
      </w:r>
      <w:r>
        <w:rPr>
          <w:rFonts w:hint="cs"/>
          <w:rtl/>
        </w:rPr>
        <w:t xml:space="preserve">26 הוגשה לבית הדין </w:t>
      </w:r>
      <w:r w:rsidR="002F7A35" w:rsidRPr="00E86E82">
        <w:rPr>
          <w:rFonts w:hint="cs"/>
          <w:rtl/>
        </w:rPr>
        <w:t>בקשה משותפת של הצדדים לביטול הליך הכינוס.</w:t>
      </w:r>
    </w:p>
    <w:p w14:paraId="32836EEA" w14:textId="5E2428E3" w:rsidR="00501235" w:rsidRDefault="002F7A35" w:rsidP="00531EBD">
      <w:pPr>
        <w:pStyle w:val="af"/>
        <w:rPr>
          <w:rFonts w:ascii="FrankRuehl" w:hAnsi="FrankRuehl"/>
          <w:rtl/>
        </w:rPr>
      </w:pPr>
      <w:r w:rsidRPr="00E86E82">
        <w:rPr>
          <w:rFonts w:hint="cs"/>
          <w:rtl/>
        </w:rPr>
        <w:t>לדבריהם</w:t>
      </w:r>
      <w:r w:rsidR="00531EBD">
        <w:rPr>
          <w:rFonts w:hint="cs"/>
          <w:rtl/>
        </w:rPr>
        <w:t>,</w:t>
      </w:r>
      <w:r w:rsidRPr="00E86E82">
        <w:rPr>
          <w:rFonts w:hint="cs"/>
          <w:rtl/>
        </w:rPr>
        <w:t xml:space="preserve"> המחיר שהושג ע"י הכונסים רחוק מאוד ממחיר השמאות</w:t>
      </w:r>
      <w:r>
        <w:rPr>
          <w:rFonts w:hint="cs"/>
          <w:rtl/>
        </w:rPr>
        <w:t>.</w:t>
      </w:r>
      <w:r w:rsidRPr="00E86E82">
        <w:rPr>
          <w:rFonts w:hint="cs"/>
          <w:rtl/>
        </w:rPr>
        <w:t xml:space="preserve"> משכך</w:t>
      </w:r>
      <w:r w:rsidR="00A0014F">
        <w:rPr>
          <w:rFonts w:hint="cs"/>
          <w:rtl/>
        </w:rPr>
        <w:t>,</w:t>
      </w:r>
      <w:r w:rsidRPr="00E86E82">
        <w:rPr>
          <w:rFonts w:hint="cs"/>
          <w:rtl/>
        </w:rPr>
        <w:t xml:space="preserve"> ייגרמו להם הפסדים כבדים</w:t>
      </w:r>
      <w:r w:rsidR="00501235">
        <w:rPr>
          <w:rFonts w:hint="cs"/>
          <w:rtl/>
        </w:rPr>
        <w:t>. להלן ציטוט סעיפים 39-43</w:t>
      </w:r>
      <w:r w:rsidR="00C805A8">
        <w:rPr>
          <w:rFonts w:hint="cs"/>
          <w:rtl/>
        </w:rPr>
        <w:t xml:space="preserve"> של ה</w:t>
      </w:r>
      <w:r w:rsidR="00501235">
        <w:rPr>
          <w:rFonts w:hint="cs"/>
          <w:rtl/>
        </w:rPr>
        <w:t>בקשה:</w:t>
      </w:r>
    </w:p>
    <w:p w14:paraId="04442CB9" w14:textId="621CCE55" w:rsidR="00501235" w:rsidRPr="00501235" w:rsidRDefault="00501235" w:rsidP="00501235">
      <w:pPr>
        <w:pStyle w:val="aa"/>
        <w:rPr>
          <w:rtl/>
        </w:rPr>
      </w:pPr>
      <w:r>
        <w:rPr>
          <w:rFonts w:hint="cs"/>
          <w:rtl/>
        </w:rPr>
        <w:t>"</w:t>
      </w:r>
      <w:r w:rsidRPr="00501235">
        <w:rPr>
          <w:rFonts w:hint="cs"/>
          <w:rtl/>
        </w:rPr>
        <w:t>בנסיבות העניין</w:t>
      </w:r>
      <w:r w:rsidR="00ED6E2F">
        <w:rPr>
          <w:rFonts w:hint="cs"/>
          <w:rtl/>
        </w:rPr>
        <w:t>:</w:t>
      </w:r>
    </w:p>
    <w:p w14:paraId="7B18B483" w14:textId="6F9049A7" w:rsidR="00501235" w:rsidRPr="00501235" w:rsidRDefault="00501235" w:rsidP="00501235">
      <w:pPr>
        <w:pStyle w:val="aa"/>
        <w:numPr>
          <w:ilvl w:val="0"/>
          <w:numId w:val="29"/>
        </w:numPr>
        <w:rPr>
          <w:rtl/>
        </w:rPr>
      </w:pPr>
      <w:r w:rsidRPr="00501235">
        <w:rPr>
          <w:rtl/>
        </w:rPr>
        <w:t xml:space="preserve">קיים פער קיצוני בין שווי הנכס לבין המחיר המוצע; </w:t>
      </w:r>
    </w:p>
    <w:p w14:paraId="7DD1FBAC" w14:textId="15EE4437" w:rsidR="00501235" w:rsidRPr="00501235" w:rsidRDefault="00501235" w:rsidP="00501235">
      <w:pPr>
        <w:pStyle w:val="aa"/>
        <w:numPr>
          <w:ilvl w:val="0"/>
          <w:numId w:val="29"/>
        </w:numPr>
        <w:rPr>
          <w:rtl/>
        </w:rPr>
      </w:pPr>
      <w:r w:rsidRPr="00501235">
        <w:rPr>
          <w:rtl/>
        </w:rPr>
        <w:t xml:space="preserve">הצדדים מתנגדים במשותף למכירה; </w:t>
      </w:r>
    </w:p>
    <w:p w14:paraId="7BB0FFE0" w14:textId="410F02F5" w:rsidR="00501235" w:rsidRPr="00501235" w:rsidRDefault="00501235" w:rsidP="00501235">
      <w:pPr>
        <w:pStyle w:val="aa"/>
        <w:numPr>
          <w:ilvl w:val="0"/>
          <w:numId w:val="29"/>
        </w:numPr>
        <w:rPr>
          <w:rtl/>
        </w:rPr>
      </w:pPr>
      <w:r w:rsidRPr="00501235">
        <w:rPr>
          <w:rtl/>
        </w:rPr>
        <w:t xml:space="preserve">קיימת חלופה כלכלית סבירה </w:t>
      </w:r>
      <w:r w:rsidRPr="00A706AF">
        <w:rPr>
          <w:szCs w:val="24"/>
          <w:rtl/>
        </w:rPr>
        <w:t>(השכרה)</w:t>
      </w:r>
      <w:r w:rsidRPr="00501235">
        <w:rPr>
          <w:rtl/>
        </w:rPr>
        <w:t xml:space="preserve">; </w:t>
      </w:r>
    </w:p>
    <w:p w14:paraId="7DBC0BB5" w14:textId="31439605" w:rsidR="00501235" w:rsidRPr="00501235" w:rsidRDefault="00501235" w:rsidP="00757B94">
      <w:pPr>
        <w:pStyle w:val="aa"/>
        <w:numPr>
          <w:ilvl w:val="0"/>
          <w:numId w:val="29"/>
        </w:numPr>
      </w:pPr>
      <w:r w:rsidRPr="00501235">
        <w:rPr>
          <w:rtl/>
        </w:rPr>
        <w:t>מתקיימת הסכמה מלאה בין הצדדים;</w:t>
      </w:r>
    </w:p>
    <w:p w14:paraId="78CA70CE" w14:textId="77777777" w:rsidR="00501235" w:rsidRPr="00501235" w:rsidRDefault="00501235" w:rsidP="00501235">
      <w:pPr>
        <w:pStyle w:val="aa"/>
        <w:rPr>
          <w:rtl/>
        </w:rPr>
      </w:pPr>
      <w:r w:rsidRPr="00501235">
        <w:rPr>
          <w:rtl/>
        </w:rPr>
        <w:t xml:space="preserve">לפיכך, מתבקש בית הדין הנכבד להיעתר לבקשה זו, לבטל את פירוק השיתוף, ולהורות על הפסקת הליך כינוס הנכסים. </w:t>
      </w:r>
    </w:p>
    <w:p w14:paraId="095678CA" w14:textId="3314BFD6" w:rsidR="00501235" w:rsidRPr="00501235" w:rsidRDefault="00501235" w:rsidP="00501235">
      <w:pPr>
        <w:pStyle w:val="aa"/>
        <w:rPr>
          <w:rtl/>
        </w:rPr>
      </w:pPr>
      <w:r w:rsidRPr="00501235">
        <w:rPr>
          <w:rtl/>
        </w:rPr>
        <w:t>ויודגש בפני כבוד בית הדין, כי נוכח הסכמת הצדדים לביטול פירוק השיתוף ולהפסקת הליך כינוס הנכסים, מתחדדת  התמונה כי לא מדובר עוד במחלוקת בלתי ניתנת לגישור, אלא במצב דברים בו ייתכן כי ה</w:t>
      </w:r>
      <w:r>
        <w:rPr>
          <w:rFonts w:hint="cs"/>
          <w:rtl/>
        </w:rPr>
        <w:t>ב</w:t>
      </w:r>
      <w:r w:rsidRPr="00501235">
        <w:rPr>
          <w:rtl/>
        </w:rPr>
        <w:t>שילו התנאים להגעה  להסדרה כוללת בין הצדדים</w:t>
      </w:r>
      <w:r>
        <w:rPr>
          <w:rFonts w:hint="cs"/>
          <w:rtl/>
        </w:rPr>
        <w:t>.</w:t>
      </w:r>
      <w:r w:rsidRPr="00501235">
        <w:rPr>
          <w:rtl/>
        </w:rPr>
        <w:t xml:space="preserve"> </w:t>
      </w:r>
    </w:p>
    <w:p w14:paraId="55648ADD" w14:textId="3E103209" w:rsidR="00501235" w:rsidRPr="00501235" w:rsidRDefault="00501235" w:rsidP="00501235">
      <w:pPr>
        <w:pStyle w:val="aa"/>
        <w:rPr>
          <w:rtl/>
        </w:rPr>
      </w:pPr>
      <w:r w:rsidRPr="00501235">
        <w:rPr>
          <w:rtl/>
        </w:rPr>
        <w:t>הסכמה זו מלמדת על שינוי מהותי בעמדות הצדדים ועל נכונות ממשית לניהול משותף של הנכס ולמציאת פתרון מוסכם. בנסיבות אלו, קיימת אפשרות ממשית כי קבלת הבקשה תסלול את הדרך לגיבוש הסכם כולל וממצה</w:t>
      </w:r>
      <w:r w:rsidR="00ED6E2F">
        <w:rPr>
          <w:rFonts w:hint="cs"/>
          <w:rtl/>
        </w:rPr>
        <w:t xml:space="preserve">, </w:t>
      </w:r>
      <w:r w:rsidRPr="00501235">
        <w:rPr>
          <w:rtl/>
        </w:rPr>
        <w:t xml:space="preserve">אשר יביא  לסיום המחלוקת ביניהם באופן יעיל, חסכוני ויציב – תוך חיסכון בזמן שיפוטי והימנעות מהמשך ניהול הליכים  מיותרים. לפיכך, יש ליתן להסכמה זו משקל ממשי, לא רק בהיבט הקנייני, אלא גם כבסיס לקידום פתרון כולל וסופי  בין הצדדים. </w:t>
      </w:r>
    </w:p>
    <w:p w14:paraId="0D3023F1" w14:textId="43CC0727" w:rsidR="00501235" w:rsidRDefault="00501235" w:rsidP="00501235">
      <w:pPr>
        <w:pStyle w:val="aa"/>
        <w:rPr>
          <w:rtl/>
        </w:rPr>
      </w:pPr>
      <w:r w:rsidRPr="00501235">
        <w:rPr>
          <w:rtl/>
        </w:rPr>
        <w:t>מן הדין ומן הצדק להיעתר לבקשת הצדדים</w:t>
      </w:r>
      <w:r>
        <w:rPr>
          <w:rFonts w:hint="cs"/>
          <w:rtl/>
        </w:rPr>
        <w:t>."</w:t>
      </w:r>
    </w:p>
    <w:p w14:paraId="51D88B47" w14:textId="6CFFFB28" w:rsidR="002F7A35" w:rsidRDefault="002F7A35" w:rsidP="00531EBD">
      <w:pPr>
        <w:pStyle w:val="af"/>
        <w:rPr>
          <w:i/>
          <w:color w:val="000000" w:themeColor="text1"/>
          <w:rtl/>
        </w:rPr>
      </w:pPr>
      <w:r w:rsidRPr="00C805A8">
        <w:rPr>
          <w:rFonts w:hint="cs"/>
          <w:i/>
          <w:color w:val="000000" w:themeColor="text1"/>
          <w:rtl/>
        </w:rPr>
        <w:t xml:space="preserve">בקשתם </w:t>
      </w:r>
      <w:r w:rsidRPr="00531EBD">
        <w:rPr>
          <w:rFonts w:hint="cs"/>
          <w:rtl/>
        </w:rPr>
        <w:t>הועברה</w:t>
      </w:r>
      <w:r w:rsidRPr="00C805A8">
        <w:rPr>
          <w:rFonts w:hint="cs"/>
          <w:i/>
          <w:color w:val="000000" w:themeColor="text1"/>
          <w:rtl/>
        </w:rPr>
        <w:t xml:space="preserve"> לתגובת כונסי הנכסים </w:t>
      </w:r>
      <w:r w:rsidR="00C805A8" w:rsidRPr="00C805A8">
        <w:rPr>
          <w:rFonts w:hint="cs"/>
          <w:i/>
          <w:color w:val="000000" w:themeColor="text1"/>
          <w:rtl/>
        </w:rPr>
        <w:t>ואלה הגיבו בהתנגדות לבקשה:</w:t>
      </w:r>
      <w:r w:rsidR="00C805A8">
        <w:rPr>
          <w:rFonts w:hint="cs"/>
          <w:i/>
          <w:color w:val="000000" w:themeColor="text1"/>
          <w:rtl/>
        </w:rPr>
        <w:t xml:space="preserve"> </w:t>
      </w:r>
    </w:p>
    <w:p w14:paraId="7BDD3434" w14:textId="77777777" w:rsidR="00C805A8" w:rsidRPr="00C805A8" w:rsidRDefault="00C805A8" w:rsidP="002F7A35">
      <w:pPr>
        <w:rPr>
          <w:rFonts w:eastAsia="Calibri"/>
          <w:i/>
          <w:color w:val="000000" w:themeColor="text1"/>
          <w:kern w:val="28"/>
          <w:rtl/>
        </w:rPr>
      </w:pPr>
    </w:p>
    <w:p w14:paraId="07150DB1" w14:textId="33531562" w:rsidR="00C805A8" w:rsidRDefault="00C805A8" w:rsidP="00C805A8">
      <w:pPr>
        <w:pStyle w:val="aa"/>
        <w:numPr>
          <w:ilvl w:val="0"/>
          <w:numId w:val="30"/>
        </w:numPr>
        <w:rPr>
          <w:rtl/>
          <w:lang w:eastAsia="he-IL"/>
        </w:rPr>
      </w:pPr>
      <w:r>
        <w:rPr>
          <w:rFonts w:hint="cs"/>
          <w:rtl/>
          <w:lang w:eastAsia="he-IL"/>
        </w:rPr>
        <w:lastRenderedPageBreak/>
        <w:t>"הכונסים מתנגדים מכל וכל לבקשת הצדדים לבטל את פסק הדין לפירוק שיתוף ולעצור את הליך המכר בשלב כה מתקדם.</w:t>
      </w:r>
    </w:p>
    <w:p w14:paraId="156727D0" w14:textId="7A9E4E3F" w:rsidR="00C805A8" w:rsidRDefault="00C805A8" w:rsidP="00C805A8">
      <w:pPr>
        <w:pStyle w:val="aa"/>
        <w:numPr>
          <w:ilvl w:val="0"/>
          <w:numId w:val="30"/>
        </w:numPr>
        <w:rPr>
          <w:rtl/>
          <w:lang w:eastAsia="he-IL"/>
        </w:rPr>
      </w:pPr>
      <w:r>
        <w:rPr>
          <w:rFonts w:hint="cs"/>
          <w:rtl/>
          <w:lang w:eastAsia="he-IL"/>
        </w:rPr>
        <w:t xml:space="preserve">מדובר בניסיון "לעשות צחוק" מההליך המשפטי ומבית הדין הנכבד, תוך זלזול מופגן בשולחיו של בית הדין אשר ביצעו את עבודתם נאמנה ובמלואה. </w:t>
      </w:r>
    </w:p>
    <w:p w14:paraId="04F76624" w14:textId="74819CAB" w:rsidR="00C805A8" w:rsidRDefault="00C805A8" w:rsidP="00C805A8">
      <w:pPr>
        <w:pStyle w:val="aa"/>
        <w:numPr>
          <w:ilvl w:val="0"/>
          <w:numId w:val="30"/>
        </w:numPr>
        <w:rPr>
          <w:rtl/>
          <w:lang w:eastAsia="he-IL"/>
        </w:rPr>
      </w:pPr>
      <w:r>
        <w:rPr>
          <w:rFonts w:hint="cs"/>
          <w:rtl/>
          <w:lang w:eastAsia="he-IL"/>
        </w:rPr>
        <w:t xml:space="preserve">בכל הכבוד, ברור ששני הצדדים </w:t>
      </w:r>
      <w:r w:rsidRPr="00A706AF">
        <w:rPr>
          <w:rFonts w:hint="cs"/>
          <w:szCs w:val="24"/>
          <w:rtl/>
          <w:lang w:eastAsia="he-IL"/>
        </w:rPr>
        <w:t>(שנמצאים בסכסוך בעצימות גבוהה)</w:t>
      </w:r>
      <w:r>
        <w:rPr>
          <w:rFonts w:hint="cs"/>
          <w:rtl/>
          <w:lang w:eastAsia="he-IL"/>
        </w:rPr>
        <w:t xml:space="preserve"> והם ניצים זה לזה, כי לא השלימו והפכו פתאום לאוהבים. כזכור לבית הדין הנכבד, הצדדים התכוונו למכור את הנכס אך לא הצליחו להגיע להסכמות. לכן ברור לכל בר דעת כי מדובר בתכסיס משפטי ולא יותר מזה.</w:t>
      </w:r>
    </w:p>
    <w:p w14:paraId="450C522A" w14:textId="4D2F6670" w:rsidR="00C805A8" w:rsidRDefault="00C805A8" w:rsidP="00C805A8">
      <w:pPr>
        <w:pStyle w:val="aa"/>
        <w:numPr>
          <w:ilvl w:val="0"/>
          <w:numId w:val="30"/>
        </w:numPr>
        <w:rPr>
          <w:rtl/>
          <w:lang w:eastAsia="he-IL"/>
        </w:rPr>
      </w:pPr>
      <w:r>
        <w:rPr>
          <w:rFonts w:hint="cs"/>
          <w:rtl/>
          <w:lang w:eastAsia="he-IL"/>
        </w:rPr>
        <w:t xml:space="preserve">לאחר הודעת ובקשת כונסי הנכסים למתן הוראות ואישור </w:t>
      </w:r>
      <w:r w:rsidR="00D54F4A">
        <w:rPr>
          <w:rFonts w:hint="cs"/>
          <w:rtl/>
          <w:lang w:eastAsia="he-IL"/>
        </w:rPr>
        <w:t>העסקה</w:t>
      </w:r>
      <w:r>
        <w:rPr>
          <w:rFonts w:hint="cs"/>
          <w:rtl/>
          <w:lang w:eastAsia="he-IL"/>
        </w:rPr>
        <w:t xml:space="preserve"> הצדדים לא הביאו שום חלופה, לא ביקשו לערוך התמחרות חוזרת לא ביקשו שביה"ד יורה כי יש להעלות את המחיר לסכום גבוה יותר, שום כלום! רק לבטל את ההליך כולו. </w:t>
      </w:r>
    </w:p>
    <w:p w14:paraId="150C6D12" w14:textId="77777777" w:rsidR="00C805A8" w:rsidRDefault="00C805A8" w:rsidP="00C805A8">
      <w:pPr>
        <w:pStyle w:val="aa"/>
        <w:numPr>
          <w:ilvl w:val="0"/>
          <w:numId w:val="30"/>
        </w:numPr>
        <w:rPr>
          <w:lang w:eastAsia="he-IL"/>
        </w:rPr>
      </w:pPr>
      <w:r>
        <w:rPr>
          <w:rFonts w:hint="cs"/>
          <w:rtl/>
          <w:lang w:eastAsia="he-IL"/>
        </w:rPr>
        <w:t xml:space="preserve">ברור שהצדדים מנסים לעשות "טריק" ולסגור את התיק בהסכמה כדי שיוכלו "שניה לאחר מכן" לפנות בעצמם לקונה הפוטנציאלית </w:t>
      </w:r>
      <w:r w:rsidRPr="00A706AF">
        <w:rPr>
          <w:rFonts w:hint="cs"/>
          <w:szCs w:val="24"/>
          <w:rtl/>
          <w:lang w:eastAsia="he-IL"/>
        </w:rPr>
        <w:t>(שהיא שוכרת הנכס)</w:t>
      </w:r>
      <w:r>
        <w:rPr>
          <w:rFonts w:hint="cs"/>
          <w:rtl/>
          <w:lang w:eastAsia="he-IL"/>
        </w:rPr>
        <w:t xml:space="preserve"> ולמכור לה את הנכס ללא שכ"ט הכונסים או לכל אדם אחר. לכן תרגיל שכזה יש לדחות על ידי בית הדין הנכבד, מדובר בהתנהגות בחוסר תום לב מהותי.</w:t>
      </w:r>
    </w:p>
    <w:p w14:paraId="51FB104E" w14:textId="77777777" w:rsidR="00C805A8" w:rsidRDefault="00C805A8" w:rsidP="00C805A8">
      <w:pPr>
        <w:pStyle w:val="aa"/>
        <w:numPr>
          <w:ilvl w:val="0"/>
          <w:numId w:val="30"/>
        </w:numPr>
        <w:rPr>
          <w:lang w:eastAsia="he-IL"/>
        </w:rPr>
      </w:pPr>
      <w:r>
        <w:rPr>
          <w:rFonts w:hint="cs"/>
          <w:rtl/>
          <w:lang w:eastAsia="he-IL"/>
        </w:rPr>
        <w:t>מכאן שישנה סבירות גבוהה שאם ביה"ד הנכבד יבהיר לצדדים כי תשלום שכ"ט לכונסי הנכסים ישולם בכל מקרה, גם אם תתבטל המכירה, אזי הצדדים יחזרו בהם מהתנגדותם. ואם לא, אז לפחות הכונסים יקבלו תמורה הוגנת לעמלם ולעבודתם המאומצת.</w:t>
      </w:r>
    </w:p>
    <w:p w14:paraId="24F7AED4" w14:textId="7EB5D1FF" w:rsidR="00C805A8" w:rsidRDefault="00C805A8" w:rsidP="00C805A8">
      <w:pPr>
        <w:pStyle w:val="aa"/>
        <w:numPr>
          <w:ilvl w:val="0"/>
          <w:numId w:val="30"/>
        </w:numPr>
        <w:rPr>
          <w:lang w:eastAsia="he-IL"/>
        </w:rPr>
      </w:pPr>
      <w:r>
        <w:rPr>
          <w:rFonts w:hint="cs"/>
          <w:rtl/>
          <w:lang w:eastAsia="he-IL"/>
        </w:rPr>
        <w:t xml:space="preserve">הכונסים סבורים כי יש מקום לאשר את </w:t>
      </w:r>
      <w:r w:rsidR="00D54F4A">
        <w:rPr>
          <w:rFonts w:hint="cs"/>
          <w:rtl/>
          <w:lang w:eastAsia="he-IL"/>
        </w:rPr>
        <w:t>עסקת</w:t>
      </w:r>
      <w:r>
        <w:rPr>
          <w:rFonts w:hint="cs"/>
          <w:rtl/>
          <w:lang w:eastAsia="he-IL"/>
        </w:rPr>
        <w:t xml:space="preserve"> המכר או לכל היותר להורות תנאים ודרישות מהכונסים אולם לחילופין, ככל שבית הדין הנכבד יחליט בכל זאת להיעתר לבקשת הצדדים לביטול פס"ד לפירוק שיתוף ולביטול הליכי הכינוס יש לפסוק את שכ"ט כונסי הנכסים בכל מקרה בשיעור 4% + מע"מ</w:t>
      </w:r>
      <w:r w:rsidR="00A706AF">
        <w:rPr>
          <w:rFonts w:hint="cs"/>
          <w:szCs w:val="24"/>
          <w:rtl/>
          <w:lang w:eastAsia="he-IL"/>
        </w:rPr>
        <w:t xml:space="preserve"> </w:t>
      </w:r>
      <w:r w:rsidRPr="00A706AF">
        <w:rPr>
          <w:rFonts w:hint="cs"/>
          <w:szCs w:val="24"/>
          <w:rtl/>
          <w:lang w:eastAsia="he-IL"/>
        </w:rPr>
        <w:t>( היינו 2% + מע"מ)</w:t>
      </w:r>
      <w:r>
        <w:rPr>
          <w:rFonts w:hint="cs"/>
          <w:rtl/>
          <w:lang w:eastAsia="he-IL"/>
        </w:rPr>
        <w:t xml:space="preserve"> מהשווי הכולל של </w:t>
      </w:r>
      <w:r w:rsidR="00D54F4A">
        <w:rPr>
          <w:rFonts w:hint="cs"/>
          <w:rtl/>
          <w:lang w:eastAsia="he-IL"/>
        </w:rPr>
        <w:t>העסקה</w:t>
      </w:r>
      <w:r>
        <w:rPr>
          <w:rFonts w:hint="cs"/>
          <w:rtl/>
          <w:lang w:eastAsia="he-IL"/>
        </w:rPr>
        <w:t xml:space="preserve"> בסך של 5,700,000 </w:t>
      </w:r>
      <w:r w:rsidR="00D54F4A">
        <w:rPr>
          <w:rFonts w:hint="cs"/>
          <w:rtl/>
          <w:lang w:eastAsia="he-IL"/>
        </w:rPr>
        <w:t>ש"ח</w:t>
      </w:r>
      <w:r>
        <w:rPr>
          <w:rFonts w:hint="cs"/>
          <w:rtl/>
          <w:lang w:eastAsia="he-IL"/>
        </w:rPr>
        <w:t xml:space="preserve"> </w:t>
      </w:r>
      <w:r w:rsidRPr="00A706AF">
        <w:rPr>
          <w:rFonts w:hint="cs"/>
          <w:szCs w:val="24"/>
          <w:rtl/>
          <w:lang w:eastAsia="he-IL"/>
        </w:rPr>
        <w:t xml:space="preserve">(סכום התמורה +תשלום מוערך </w:t>
      </w:r>
      <w:proofErr w:type="spellStart"/>
      <w:r w:rsidRPr="00A706AF">
        <w:rPr>
          <w:rFonts w:hint="cs"/>
          <w:szCs w:val="24"/>
          <w:rtl/>
          <w:lang w:eastAsia="he-IL"/>
        </w:rPr>
        <w:t>לרמ"י+תשלום</w:t>
      </w:r>
      <w:proofErr w:type="spellEnd"/>
      <w:r w:rsidRPr="00A706AF">
        <w:rPr>
          <w:rFonts w:hint="cs"/>
          <w:szCs w:val="24"/>
          <w:rtl/>
          <w:lang w:eastAsia="he-IL"/>
        </w:rPr>
        <w:t xml:space="preserve"> לקיבוץ מוערך)</w:t>
      </w:r>
      <w:r>
        <w:rPr>
          <w:rFonts w:hint="cs"/>
          <w:rtl/>
          <w:lang w:eastAsia="he-IL"/>
        </w:rPr>
        <w:t xml:space="preserve">.  </w:t>
      </w:r>
    </w:p>
    <w:p w14:paraId="42469EBF" w14:textId="11764892" w:rsidR="00C805A8" w:rsidRDefault="00C805A8" w:rsidP="00C805A8">
      <w:pPr>
        <w:pStyle w:val="aa"/>
        <w:numPr>
          <w:ilvl w:val="0"/>
          <w:numId w:val="30"/>
        </w:numPr>
        <w:rPr>
          <w:lang w:eastAsia="he-IL"/>
        </w:rPr>
      </w:pPr>
      <w:r>
        <w:rPr>
          <w:rFonts w:hint="cs"/>
          <w:rtl/>
          <w:lang w:eastAsia="he-IL"/>
        </w:rPr>
        <w:t>מאז מתן ההחלטה האמורה כונסי הנכסים ביצעו בין היתר את הפעולות הבאות שיפורטו כאן רק בתמצית:</w:t>
      </w:r>
    </w:p>
    <w:p w14:paraId="5AD9D82C" w14:textId="6879EB4F" w:rsidR="00C805A8" w:rsidRDefault="00C805A8" w:rsidP="00C805A8">
      <w:pPr>
        <w:pStyle w:val="aa"/>
        <w:numPr>
          <w:ilvl w:val="2"/>
          <w:numId w:val="33"/>
        </w:numPr>
        <w:rPr>
          <w:rtl/>
          <w:lang w:eastAsia="he-IL"/>
        </w:rPr>
      </w:pPr>
      <w:r>
        <w:rPr>
          <w:rFonts w:hint="cs"/>
          <w:rtl/>
          <w:lang w:eastAsia="he-IL"/>
        </w:rPr>
        <w:t>העברת תקבולי שכ"ד באמצעות שיקים.</w:t>
      </w:r>
    </w:p>
    <w:p w14:paraId="7D0FFACC" w14:textId="3B9CF5CC" w:rsidR="00C805A8" w:rsidRDefault="00C805A8" w:rsidP="00C805A8">
      <w:pPr>
        <w:pStyle w:val="aa"/>
        <w:numPr>
          <w:ilvl w:val="2"/>
          <w:numId w:val="33"/>
        </w:numPr>
        <w:rPr>
          <w:lang w:eastAsia="he-IL"/>
        </w:rPr>
      </w:pPr>
      <w:r>
        <w:rPr>
          <w:rFonts w:hint="cs"/>
          <w:rtl/>
          <w:lang w:eastAsia="he-IL"/>
        </w:rPr>
        <w:t>ביצעו בירורים מול ב"כ הקיבוץ באשר לשיוך הקרקע.</w:t>
      </w:r>
    </w:p>
    <w:p w14:paraId="30063DC1" w14:textId="7B5E7A04" w:rsidR="00C805A8" w:rsidRDefault="00C805A8" w:rsidP="00C805A8">
      <w:pPr>
        <w:pStyle w:val="aa"/>
        <w:numPr>
          <w:ilvl w:val="2"/>
          <w:numId w:val="33"/>
        </w:numPr>
        <w:rPr>
          <w:lang w:eastAsia="he-IL"/>
        </w:rPr>
      </w:pPr>
      <w:r>
        <w:rPr>
          <w:rFonts w:hint="cs"/>
          <w:rtl/>
          <w:lang w:eastAsia="he-IL"/>
        </w:rPr>
        <w:t xml:space="preserve">בירור </w:t>
      </w:r>
      <w:r w:rsidR="00ED6E2F">
        <w:rPr>
          <w:rFonts w:hint="cs"/>
          <w:rtl/>
          <w:lang w:eastAsia="he-IL"/>
        </w:rPr>
        <w:t xml:space="preserve">המצב המשפטי מול </w:t>
      </w:r>
      <w:r>
        <w:rPr>
          <w:rFonts w:hint="cs"/>
          <w:rtl/>
          <w:lang w:eastAsia="he-IL"/>
        </w:rPr>
        <w:t xml:space="preserve"> </w:t>
      </w:r>
      <w:proofErr w:type="spellStart"/>
      <w:r>
        <w:rPr>
          <w:rFonts w:hint="cs"/>
          <w:rtl/>
          <w:lang w:eastAsia="he-IL"/>
        </w:rPr>
        <w:t>רמ"י</w:t>
      </w:r>
      <w:proofErr w:type="spellEnd"/>
      <w:r>
        <w:rPr>
          <w:rFonts w:hint="cs"/>
          <w:rtl/>
          <w:lang w:eastAsia="he-IL"/>
        </w:rPr>
        <w:t xml:space="preserve"> </w:t>
      </w:r>
      <w:r w:rsidR="00ED6E2F">
        <w:rPr>
          <w:rFonts w:hint="cs"/>
          <w:rtl/>
          <w:lang w:eastAsia="he-IL"/>
        </w:rPr>
        <w:t>.</w:t>
      </w:r>
    </w:p>
    <w:p w14:paraId="1FF4203A" w14:textId="6DACF8D8" w:rsidR="00C805A8" w:rsidRDefault="00C805A8" w:rsidP="00C805A8">
      <w:pPr>
        <w:pStyle w:val="aa"/>
        <w:numPr>
          <w:ilvl w:val="2"/>
          <w:numId w:val="33"/>
        </w:numPr>
        <w:rPr>
          <w:lang w:eastAsia="he-IL"/>
        </w:rPr>
      </w:pPr>
      <w:r>
        <w:rPr>
          <w:rFonts w:hint="cs"/>
          <w:rtl/>
          <w:lang w:eastAsia="he-IL"/>
        </w:rPr>
        <w:t>פרסום מודעת כינוס בעיתונות.</w:t>
      </w:r>
    </w:p>
    <w:p w14:paraId="0C3AB04E" w14:textId="649433B8" w:rsidR="00C805A8" w:rsidRDefault="00C805A8" w:rsidP="00C805A8">
      <w:pPr>
        <w:pStyle w:val="aa"/>
        <w:numPr>
          <w:ilvl w:val="2"/>
          <w:numId w:val="33"/>
        </w:numPr>
        <w:rPr>
          <w:lang w:eastAsia="he-IL"/>
        </w:rPr>
      </w:pPr>
      <w:r>
        <w:rPr>
          <w:rFonts w:hint="cs"/>
          <w:rtl/>
          <w:lang w:eastAsia="he-IL"/>
        </w:rPr>
        <w:t>ביצוע התמחרות בין המציעים השונים עד לבחירתו של מציע.</w:t>
      </w:r>
    </w:p>
    <w:p w14:paraId="6CC699DC" w14:textId="17BA5844" w:rsidR="00C805A8" w:rsidRDefault="00C805A8" w:rsidP="00C805A8">
      <w:pPr>
        <w:pStyle w:val="aa"/>
        <w:numPr>
          <w:ilvl w:val="2"/>
          <w:numId w:val="33"/>
        </w:numPr>
        <w:rPr>
          <w:lang w:eastAsia="he-IL"/>
        </w:rPr>
      </w:pPr>
      <w:r>
        <w:rPr>
          <w:rFonts w:hint="cs"/>
          <w:rtl/>
          <w:lang w:eastAsia="he-IL"/>
        </w:rPr>
        <w:t>עריכת טיוטת הסכם מכר ראשונה עם הקונה הפוטנציאלי.</w:t>
      </w:r>
    </w:p>
    <w:p w14:paraId="35301AA0" w14:textId="013C2D50" w:rsidR="00C805A8" w:rsidRDefault="00C805A8" w:rsidP="00C805A8">
      <w:pPr>
        <w:pStyle w:val="aa"/>
        <w:numPr>
          <w:ilvl w:val="2"/>
          <w:numId w:val="33"/>
        </w:numPr>
        <w:rPr>
          <w:lang w:eastAsia="he-IL"/>
        </w:rPr>
      </w:pPr>
      <w:r>
        <w:rPr>
          <w:rFonts w:hint="cs"/>
          <w:rtl/>
          <w:lang w:eastAsia="he-IL"/>
        </w:rPr>
        <w:t>ניהול מו"מ עם ב"כ הקונה.</w:t>
      </w:r>
    </w:p>
    <w:p w14:paraId="16BA38E9" w14:textId="665D3F6D" w:rsidR="00C805A8" w:rsidRDefault="00C805A8" w:rsidP="00C805A8">
      <w:pPr>
        <w:pStyle w:val="aa"/>
        <w:numPr>
          <w:ilvl w:val="2"/>
          <w:numId w:val="33"/>
        </w:numPr>
        <w:rPr>
          <w:lang w:eastAsia="he-IL"/>
        </w:rPr>
      </w:pPr>
      <w:r>
        <w:rPr>
          <w:rFonts w:hint="cs"/>
          <w:rtl/>
          <w:lang w:eastAsia="he-IL"/>
        </w:rPr>
        <w:t>פגישות מו"מ.</w:t>
      </w:r>
    </w:p>
    <w:p w14:paraId="061F8E2D" w14:textId="009F89AE" w:rsidR="00C805A8" w:rsidRDefault="00C805A8" w:rsidP="00C805A8">
      <w:pPr>
        <w:pStyle w:val="aa"/>
        <w:numPr>
          <w:ilvl w:val="2"/>
          <w:numId w:val="33"/>
        </w:numPr>
        <w:rPr>
          <w:lang w:eastAsia="he-IL"/>
        </w:rPr>
      </w:pPr>
      <w:r>
        <w:rPr>
          <w:rFonts w:hint="cs"/>
          <w:rtl/>
          <w:lang w:eastAsia="he-IL"/>
        </w:rPr>
        <w:lastRenderedPageBreak/>
        <w:t xml:space="preserve">לאחר כישלון </w:t>
      </w:r>
      <w:r w:rsidR="00D54F4A">
        <w:rPr>
          <w:rFonts w:hint="cs"/>
          <w:rtl/>
          <w:lang w:eastAsia="he-IL"/>
        </w:rPr>
        <w:t>העסקה</w:t>
      </w:r>
      <w:r>
        <w:rPr>
          <w:rFonts w:hint="cs"/>
          <w:rtl/>
          <w:lang w:eastAsia="he-IL"/>
        </w:rPr>
        <w:t xml:space="preserve"> הראשונה סבב שני של בירורים וניהול מו"מ עם המציעים החלופיים.</w:t>
      </w:r>
    </w:p>
    <w:p w14:paraId="7EBCF497" w14:textId="10DAE2E2" w:rsidR="00C805A8" w:rsidRDefault="00C805A8" w:rsidP="00C805A8">
      <w:pPr>
        <w:pStyle w:val="aa"/>
        <w:numPr>
          <w:ilvl w:val="2"/>
          <w:numId w:val="33"/>
        </w:numPr>
        <w:rPr>
          <w:lang w:eastAsia="he-IL"/>
        </w:rPr>
      </w:pPr>
      <w:r>
        <w:rPr>
          <w:rFonts w:hint="cs"/>
          <w:rtl/>
          <w:lang w:eastAsia="he-IL"/>
        </w:rPr>
        <w:t>שיחות עם השמאית שערכה את השומה.</w:t>
      </w:r>
    </w:p>
    <w:p w14:paraId="2E862409" w14:textId="3190ACF7" w:rsidR="00C805A8" w:rsidRDefault="00C805A8" w:rsidP="00C805A8">
      <w:pPr>
        <w:pStyle w:val="aa"/>
        <w:numPr>
          <w:ilvl w:val="2"/>
          <w:numId w:val="33"/>
        </w:numPr>
        <w:rPr>
          <w:lang w:eastAsia="he-IL"/>
        </w:rPr>
      </w:pPr>
      <w:r>
        <w:rPr>
          <w:rFonts w:hint="cs"/>
          <w:rtl/>
          <w:lang w:eastAsia="he-IL"/>
        </w:rPr>
        <w:t>ניהול מו"מ עם המציעה החלופית.</w:t>
      </w:r>
    </w:p>
    <w:p w14:paraId="6CB8B4B7" w14:textId="7266842C" w:rsidR="00C805A8" w:rsidRDefault="00C805A8" w:rsidP="00C805A8">
      <w:pPr>
        <w:pStyle w:val="aa"/>
        <w:numPr>
          <w:ilvl w:val="2"/>
          <w:numId w:val="33"/>
        </w:numPr>
        <w:rPr>
          <w:lang w:eastAsia="he-IL"/>
        </w:rPr>
      </w:pPr>
      <w:r>
        <w:rPr>
          <w:rFonts w:hint="cs"/>
          <w:rtl/>
          <w:lang w:eastAsia="he-IL"/>
        </w:rPr>
        <w:t>עריכת טיוטת הסכם מכר נוספת.</w:t>
      </w:r>
    </w:p>
    <w:p w14:paraId="572425A6" w14:textId="39776CFB" w:rsidR="00C805A8" w:rsidRDefault="00C805A8" w:rsidP="00C805A8">
      <w:pPr>
        <w:pStyle w:val="aa"/>
        <w:numPr>
          <w:ilvl w:val="2"/>
          <w:numId w:val="33"/>
        </w:numPr>
        <w:rPr>
          <w:lang w:eastAsia="he-IL"/>
        </w:rPr>
      </w:pPr>
      <w:r>
        <w:rPr>
          <w:rFonts w:hint="cs"/>
          <w:rtl/>
          <w:lang w:eastAsia="he-IL"/>
        </w:rPr>
        <w:t>הגשת בקשות לבית הדין הנכבד לחתימה על פסיקתות ולמתן הוראות.</w:t>
      </w:r>
    </w:p>
    <w:p w14:paraId="569B49B7" w14:textId="2244FDB8" w:rsidR="00C805A8" w:rsidRDefault="00C805A8" w:rsidP="00C805A8">
      <w:pPr>
        <w:pStyle w:val="aa"/>
        <w:numPr>
          <w:ilvl w:val="2"/>
          <w:numId w:val="33"/>
        </w:numPr>
        <w:rPr>
          <w:lang w:eastAsia="he-IL"/>
        </w:rPr>
      </w:pPr>
      <w:r>
        <w:rPr>
          <w:rFonts w:hint="cs"/>
          <w:rtl/>
          <w:lang w:eastAsia="he-IL"/>
        </w:rPr>
        <w:t>פתיחת חשבון כינוס בבנק לאומי לצורך הפקדת כספי המכר.</w:t>
      </w:r>
    </w:p>
    <w:p w14:paraId="6DF2FE4D" w14:textId="5898B629" w:rsidR="002F7A35" w:rsidRPr="00C805A8" w:rsidRDefault="00C805A8" w:rsidP="00162580">
      <w:pPr>
        <w:pStyle w:val="aa"/>
        <w:numPr>
          <w:ilvl w:val="0"/>
          <w:numId w:val="30"/>
        </w:numPr>
        <w:rPr>
          <w:rFonts w:ascii="FrankRuehl" w:hAnsi="FrankRuehl"/>
          <w:sz w:val="24"/>
          <w:szCs w:val="24"/>
          <w:rtl/>
        </w:rPr>
      </w:pPr>
      <w:r>
        <w:rPr>
          <w:rFonts w:hint="cs"/>
          <w:rtl/>
          <w:lang w:eastAsia="he-IL"/>
        </w:rPr>
        <w:t>מדובר בפעולות רבות ומגוונות שלקחו זמן רב, ושעות רבות הושקעו בעבודה קשה ומאומצת של כונסי הנכסים. בעצם היו שני הליכי כינוס שלמים."</w:t>
      </w:r>
    </w:p>
    <w:p w14:paraId="1953EB6E" w14:textId="0AAB30AD" w:rsidR="00C805A8" w:rsidRDefault="002F7A35" w:rsidP="00531EBD">
      <w:pPr>
        <w:pStyle w:val="af"/>
        <w:rPr>
          <w:b/>
          <w:bCs/>
          <w:rtl/>
        </w:rPr>
      </w:pPr>
      <w:r w:rsidRPr="00E86E82">
        <w:rPr>
          <w:rFonts w:ascii="FrankRuehl" w:hAnsi="FrankRuehl" w:hint="cs"/>
          <w:sz w:val="28"/>
          <w:rtl/>
        </w:rPr>
        <w:t xml:space="preserve">כונסי </w:t>
      </w:r>
      <w:r w:rsidRPr="00531EBD">
        <w:rPr>
          <w:rFonts w:hint="cs"/>
          <w:rtl/>
        </w:rPr>
        <w:t>הנכסים</w:t>
      </w:r>
      <w:r w:rsidRPr="00E86E82">
        <w:rPr>
          <w:rFonts w:ascii="FrankRuehl" w:hAnsi="FrankRuehl" w:hint="cs"/>
          <w:sz w:val="28"/>
          <w:rtl/>
        </w:rPr>
        <w:t xml:space="preserve"> אף הביאו אסמכתאות הלכתיות רבות לכך שמגיע להם שכר על פעולותיהם</w:t>
      </w:r>
      <w:r w:rsidR="00C805A8">
        <w:rPr>
          <w:rFonts w:ascii="FrankRuehl" w:hAnsi="FrankRuehl" w:hint="cs"/>
          <w:sz w:val="28"/>
          <w:rtl/>
        </w:rPr>
        <w:t>,</w:t>
      </w:r>
      <w:r w:rsidRPr="00E86E82">
        <w:rPr>
          <w:rFonts w:ascii="FrankRuehl" w:hAnsi="FrankRuehl" w:hint="cs"/>
          <w:sz w:val="28"/>
          <w:rtl/>
        </w:rPr>
        <w:t xml:space="preserve"> כאמור בכתביהם.</w:t>
      </w:r>
    </w:p>
    <w:p w14:paraId="7A41803F" w14:textId="1B7802FF" w:rsidR="00C805A8" w:rsidRPr="004B1E25" w:rsidRDefault="002F7A35" w:rsidP="00A0014F">
      <w:pPr>
        <w:pStyle w:val="-0"/>
        <w:rPr>
          <w:b w:val="0"/>
          <w:bCs w:val="0"/>
          <w:rtl/>
        </w:rPr>
      </w:pPr>
      <w:r w:rsidRPr="004B1E25">
        <w:rPr>
          <w:rFonts w:hint="cs"/>
          <w:rtl/>
        </w:rPr>
        <w:t xml:space="preserve">דיון </w:t>
      </w:r>
    </w:p>
    <w:p w14:paraId="5411AE11" w14:textId="35EBF1E8" w:rsidR="002F7A35" w:rsidRPr="00E86E82" w:rsidRDefault="002F7A35" w:rsidP="00533D2E">
      <w:pPr>
        <w:pStyle w:val="ae"/>
        <w:rPr>
          <w:rtl/>
        </w:rPr>
      </w:pPr>
      <w:r w:rsidRPr="00E86E82">
        <w:rPr>
          <w:rFonts w:hint="cs"/>
          <w:rtl/>
        </w:rPr>
        <w:t>בנידון זה כבר נשתברו קולמוסים רבים מה הגדר של כונס הנכסים</w:t>
      </w:r>
      <w:r w:rsidR="00D54F4A">
        <w:rPr>
          <w:rFonts w:hint="cs"/>
          <w:rtl/>
        </w:rPr>
        <w:t>,</w:t>
      </w:r>
      <w:r w:rsidRPr="00E86E82">
        <w:rPr>
          <w:rFonts w:hint="cs"/>
          <w:rtl/>
        </w:rPr>
        <w:t xml:space="preserve"> ומה הדין בכונס נכסים שלא השלים את פעולת הכינוס מחמת סיבות שאינם תלויות בו כגון שבעלי הנכס חזרו בהם.</w:t>
      </w:r>
    </w:p>
    <w:p w14:paraId="1E3D27CB" w14:textId="40B3933A" w:rsidR="002F7A35" w:rsidRDefault="00C805A8" w:rsidP="00531EBD">
      <w:pPr>
        <w:pStyle w:val="af"/>
        <w:rPr>
          <w:rFonts w:ascii="FrankRuehl" w:hAnsi="FrankRuehl"/>
          <w:sz w:val="28"/>
          <w:rtl/>
        </w:rPr>
      </w:pPr>
      <w:r>
        <w:rPr>
          <w:rFonts w:ascii="FrankRuehl" w:hAnsi="FrankRuehl" w:hint="cs"/>
          <w:sz w:val="28"/>
          <w:rtl/>
        </w:rPr>
        <w:t xml:space="preserve">בפס"ד של ביה"ד הרבני בירושלים </w:t>
      </w:r>
      <w:r w:rsidRPr="00A706AF">
        <w:rPr>
          <w:rFonts w:ascii="FrankRuehl" w:hAnsi="FrankRuehl" w:hint="cs"/>
          <w:sz w:val="28"/>
          <w:szCs w:val="24"/>
          <w:rtl/>
        </w:rPr>
        <w:t xml:space="preserve">(בהרכב הדיינים הגאונים : הרב אוריאל לביא, הרב דוד דב לבנון והרב חיים ו' </w:t>
      </w:r>
      <w:proofErr w:type="spellStart"/>
      <w:r w:rsidRPr="00A706AF">
        <w:rPr>
          <w:rFonts w:ascii="FrankRuehl" w:hAnsi="FrankRuehl" w:hint="cs"/>
          <w:sz w:val="28"/>
          <w:szCs w:val="24"/>
          <w:rtl/>
        </w:rPr>
        <w:t>וידאל</w:t>
      </w:r>
      <w:proofErr w:type="spellEnd"/>
      <w:r w:rsidRPr="00A706AF">
        <w:rPr>
          <w:rFonts w:ascii="FrankRuehl" w:hAnsi="FrankRuehl" w:hint="cs"/>
          <w:sz w:val="28"/>
          <w:szCs w:val="24"/>
          <w:rtl/>
        </w:rPr>
        <w:t>)</w:t>
      </w:r>
      <w:r>
        <w:rPr>
          <w:rFonts w:ascii="FrankRuehl" w:hAnsi="FrankRuehl" w:hint="cs"/>
          <w:sz w:val="28"/>
          <w:rtl/>
        </w:rPr>
        <w:t xml:space="preserve"> בתיק מס' 632471/9 דנו במקרה דומה:</w:t>
      </w:r>
    </w:p>
    <w:p w14:paraId="0CBE268B" w14:textId="662CF663" w:rsidR="00C805A8" w:rsidRPr="001B66B6" w:rsidRDefault="00C805A8" w:rsidP="00C805A8">
      <w:pPr>
        <w:pStyle w:val="aa"/>
        <w:rPr>
          <w:rtl/>
          <w:lang w:eastAsia="he-IL"/>
        </w:rPr>
      </w:pPr>
      <w:r>
        <w:rPr>
          <w:rFonts w:hint="cs"/>
          <w:rtl/>
          <w:lang w:eastAsia="he-IL"/>
        </w:rPr>
        <w:t>"</w:t>
      </w:r>
      <w:r w:rsidRPr="001B66B6">
        <w:rPr>
          <w:rFonts w:hint="cs"/>
          <w:rtl/>
          <w:lang w:eastAsia="he-IL"/>
        </w:rPr>
        <w:t>ביחס</w:t>
      </w:r>
      <w:r w:rsidRPr="001B66B6">
        <w:rPr>
          <w:rtl/>
          <w:lang w:eastAsia="he-IL"/>
        </w:rPr>
        <w:t xml:space="preserve"> </w:t>
      </w:r>
      <w:r w:rsidRPr="001B66B6">
        <w:rPr>
          <w:rFonts w:hint="cs"/>
          <w:rtl/>
          <w:lang w:eastAsia="he-IL"/>
        </w:rPr>
        <w:t>ל</w:t>
      </w:r>
      <w:r w:rsidRPr="001B66B6">
        <w:rPr>
          <w:rtl/>
          <w:lang w:eastAsia="he-IL"/>
        </w:rPr>
        <w:t xml:space="preserve">מעמדו ההלכתי של כונס הנכסים, יצוין לפסק דינו של ביה"ד האזורי בנתניה </w:t>
      </w:r>
      <w:proofErr w:type="spellStart"/>
      <w:r w:rsidRPr="001B66B6">
        <w:rPr>
          <w:rtl/>
          <w:lang w:eastAsia="he-IL"/>
        </w:rPr>
        <w:t>שבפד"ר</w:t>
      </w:r>
      <w:proofErr w:type="spellEnd"/>
      <w:r w:rsidRPr="001B66B6">
        <w:rPr>
          <w:rtl/>
          <w:lang w:eastAsia="he-IL"/>
        </w:rPr>
        <w:t xml:space="preserve"> כרך כ' עמ' 178 שדנו בנסיבות של כונס כנסים שהתמנה עפ"י הסכמת הצדדים בהסכם הגירושין, ו</w:t>
      </w:r>
      <w:r w:rsidRPr="001B66B6">
        <w:rPr>
          <w:rFonts w:hint="cs"/>
          <w:rtl/>
          <w:lang w:eastAsia="he-IL"/>
        </w:rPr>
        <w:t xml:space="preserve">בפסק הדין </w:t>
      </w:r>
      <w:r w:rsidRPr="001B66B6">
        <w:rPr>
          <w:rtl/>
          <w:lang w:eastAsia="he-IL"/>
        </w:rPr>
        <w:t>נ</w:t>
      </w:r>
      <w:r w:rsidRPr="001B66B6">
        <w:rPr>
          <w:rFonts w:hint="cs"/>
          <w:rtl/>
          <w:lang w:eastAsia="he-IL"/>
        </w:rPr>
        <w:t>יתן</w:t>
      </w:r>
      <w:r w:rsidRPr="001B66B6">
        <w:rPr>
          <w:rtl/>
          <w:lang w:eastAsia="he-IL"/>
        </w:rPr>
        <w:t xml:space="preserve"> לו מעמד של שליח בני הזוג</w:t>
      </w:r>
      <w:r w:rsidRPr="001B66B6">
        <w:rPr>
          <w:rFonts w:hint="cs"/>
          <w:rtl/>
          <w:lang w:eastAsia="he-IL"/>
        </w:rPr>
        <w:t>.</w:t>
      </w:r>
      <w:r w:rsidRPr="001B66B6">
        <w:rPr>
          <w:rtl/>
          <w:lang w:eastAsia="he-IL"/>
        </w:rPr>
        <w:t xml:space="preserve"> אך בהתאם למבואר להלן</w:t>
      </w:r>
      <w:r>
        <w:rPr>
          <w:rFonts w:hint="cs"/>
          <w:rtl/>
          <w:lang w:eastAsia="he-IL"/>
        </w:rPr>
        <w:t>,</w:t>
      </w:r>
      <w:r w:rsidRPr="001B66B6">
        <w:rPr>
          <w:rtl/>
          <w:lang w:eastAsia="he-IL"/>
        </w:rPr>
        <w:t xml:space="preserve"> אין מקום למסקנתם.</w:t>
      </w:r>
    </w:p>
    <w:p w14:paraId="75D9542C" w14:textId="727BE608" w:rsidR="00C805A8" w:rsidRPr="001B66B6" w:rsidRDefault="00C805A8" w:rsidP="00C805A8">
      <w:pPr>
        <w:pStyle w:val="aa"/>
        <w:rPr>
          <w:rtl/>
          <w:lang w:eastAsia="he-IL"/>
        </w:rPr>
      </w:pPr>
      <w:r w:rsidRPr="001B66B6">
        <w:rPr>
          <w:rtl/>
          <w:lang w:eastAsia="he-IL"/>
        </w:rPr>
        <w:t>בתי הדין כמו בתי המשפט מוסמכים למנות כונס נכסים המקבל מעמד מיוחד עפ"י חוק המאפשר לו להשלים את המטלה שהוטלה עליו. סמכות בית הדין ביחס לכונס הנכסים נקבעה בסעיף 7</w:t>
      </w:r>
      <w:r>
        <w:rPr>
          <w:rFonts w:hint="cs"/>
          <w:rtl/>
          <w:lang w:eastAsia="he-IL"/>
        </w:rPr>
        <w:t xml:space="preserve"> </w:t>
      </w:r>
      <w:r w:rsidRPr="001B66B6">
        <w:rPr>
          <w:rtl/>
          <w:lang w:eastAsia="he-IL"/>
        </w:rPr>
        <w:t>ד</w:t>
      </w:r>
      <w:r w:rsidRPr="001B66B6">
        <w:rPr>
          <w:rFonts w:hint="cs"/>
          <w:rtl/>
          <w:lang w:eastAsia="he-IL"/>
        </w:rPr>
        <w:t>'</w:t>
      </w:r>
      <w:r w:rsidRPr="001B66B6">
        <w:rPr>
          <w:rtl/>
          <w:lang w:eastAsia="he-IL"/>
        </w:rPr>
        <w:t xml:space="preserve"> לחוק בתי דין דתיים </w:t>
      </w:r>
      <w:r w:rsidRPr="00A706AF">
        <w:rPr>
          <w:szCs w:val="24"/>
          <w:rtl/>
          <w:lang w:eastAsia="he-IL"/>
        </w:rPr>
        <w:t>(כפיית ציות ודרכי דיון)</w:t>
      </w:r>
      <w:r w:rsidRPr="001B66B6">
        <w:rPr>
          <w:rtl/>
          <w:lang w:eastAsia="he-IL"/>
        </w:rPr>
        <w:t xml:space="preserve">, התשט"ז-1956 שבו נכתב: </w:t>
      </w:r>
    </w:p>
    <w:p w14:paraId="2D7F063C" w14:textId="345BDD62" w:rsidR="00C805A8" w:rsidRPr="001B66B6" w:rsidRDefault="00ED6E2F" w:rsidP="00C805A8">
      <w:pPr>
        <w:pStyle w:val="af3"/>
        <w:rPr>
          <w:rtl/>
          <w:lang w:eastAsia="he-IL"/>
        </w:rPr>
      </w:pPr>
      <w:r>
        <w:rPr>
          <w:rFonts w:hint="cs"/>
          <w:rtl/>
          <w:lang w:eastAsia="he-IL"/>
        </w:rPr>
        <w:t>'</w:t>
      </w:r>
      <w:r w:rsidR="00C805A8" w:rsidRPr="00A706AF">
        <w:rPr>
          <w:szCs w:val="24"/>
          <w:rtl/>
          <w:lang w:eastAsia="he-IL"/>
        </w:rPr>
        <w:t>(א)</w:t>
      </w:r>
      <w:r w:rsidR="00C805A8" w:rsidRPr="001B66B6">
        <w:rPr>
          <w:rtl/>
          <w:lang w:eastAsia="he-IL"/>
        </w:rPr>
        <w:t xml:space="preserve"> בית דין, כשהוא דן </w:t>
      </w:r>
      <w:proofErr w:type="spellStart"/>
      <w:r w:rsidR="00C805A8" w:rsidRPr="001B66B6">
        <w:rPr>
          <w:rtl/>
          <w:lang w:eastAsia="he-IL"/>
        </w:rPr>
        <w:t>בענין</w:t>
      </w:r>
      <w:proofErr w:type="spellEnd"/>
      <w:r w:rsidR="00C805A8" w:rsidRPr="001B66B6">
        <w:rPr>
          <w:rtl/>
          <w:lang w:eastAsia="he-IL"/>
        </w:rPr>
        <w:t xml:space="preserve"> שבשיפוטו, רשאי למנות כונס נכסים </w:t>
      </w:r>
      <w:r w:rsidR="00C805A8" w:rsidRPr="00A706AF">
        <w:rPr>
          <w:szCs w:val="24"/>
          <w:rtl/>
          <w:lang w:eastAsia="he-IL"/>
        </w:rPr>
        <w:t>(בסעיף זה – הכונס)</w:t>
      </w:r>
      <w:r w:rsidR="00C805A8" w:rsidRPr="001B66B6">
        <w:rPr>
          <w:rtl/>
          <w:lang w:eastAsia="he-IL"/>
        </w:rPr>
        <w:t xml:space="preserve"> על נכס מסוים של נתבע, אם הוכח להנחת דעתו, כי קיימות ראיות מהימנות לכאורה התומכות בעילת התובענה וכי קיים צורך מיוחד במינוי הכונס לשם ביצוע פסק הדין, </w:t>
      </w:r>
      <w:r w:rsidR="00BE2125" w:rsidRPr="001B66B6">
        <w:rPr>
          <w:rFonts w:hint="cs"/>
          <w:rtl/>
          <w:lang w:eastAsia="he-IL"/>
        </w:rPr>
        <w:t>ולעניי</w:t>
      </w:r>
      <w:r w:rsidR="00BE2125" w:rsidRPr="001B66B6">
        <w:rPr>
          <w:rFonts w:hint="eastAsia"/>
          <w:rtl/>
          <w:lang w:eastAsia="he-IL"/>
        </w:rPr>
        <w:t>ן</w:t>
      </w:r>
      <w:r w:rsidR="00C805A8" w:rsidRPr="001B66B6">
        <w:rPr>
          <w:rtl/>
          <w:lang w:eastAsia="he-IL"/>
        </w:rPr>
        <w:t xml:space="preserve"> זה יחולו, בכפוף להוראות סעיף זה, הוראות סעיפים 53 עד 57 ו-60 לחוק ההוצאה לפועל, התשכ"ז-1967, וכפי שיתוקן מעת לעת, בשינויים אלה...</w:t>
      </w:r>
      <w:r w:rsidR="00C805A8" w:rsidRPr="001B66B6">
        <w:rPr>
          <w:rtl/>
          <w:lang w:eastAsia="he-IL"/>
        </w:rPr>
        <w:tab/>
      </w:r>
    </w:p>
    <w:p w14:paraId="7D1EF526" w14:textId="5609C68E" w:rsidR="00C805A8" w:rsidRPr="001B66B6" w:rsidRDefault="00C805A8" w:rsidP="00C805A8">
      <w:pPr>
        <w:pStyle w:val="af3"/>
        <w:rPr>
          <w:rtl/>
          <w:lang w:eastAsia="he-IL"/>
        </w:rPr>
      </w:pPr>
      <w:r w:rsidRPr="00A706AF">
        <w:rPr>
          <w:szCs w:val="24"/>
          <w:rtl/>
          <w:lang w:eastAsia="he-IL"/>
        </w:rPr>
        <w:t>(ב)</w:t>
      </w:r>
      <w:r w:rsidRPr="001B66B6">
        <w:rPr>
          <w:rtl/>
          <w:lang w:eastAsia="he-IL"/>
        </w:rPr>
        <w:t xml:space="preserve"> בית הדין יקבע את שכרו של הכונס, בהתאם לתקנות סדר הדין האזרחי החלות בתובענות </w:t>
      </w:r>
      <w:proofErr w:type="spellStart"/>
      <w:r w:rsidRPr="001B66B6">
        <w:rPr>
          <w:rtl/>
          <w:lang w:eastAsia="he-IL"/>
        </w:rPr>
        <w:t>בעניני</w:t>
      </w:r>
      <w:proofErr w:type="spellEnd"/>
      <w:r w:rsidRPr="001B66B6">
        <w:rPr>
          <w:rtl/>
          <w:lang w:eastAsia="he-IL"/>
        </w:rPr>
        <w:t xml:space="preserve"> משפחה</w:t>
      </w:r>
      <w:r w:rsidR="00ED6E2F">
        <w:rPr>
          <w:rFonts w:hint="cs"/>
          <w:rtl/>
          <w:lang w:eastAsia="he-IL"/>
        </w:rPr>
        <w:t>.'</w:t>
      </w:r>
    </w:p>
    <w:p w14:paraId="27AFAC57" w14:textId="103F6FEC" w:rsidR="00C805A8" w:rsidRDefault="00C805A8" w:rsidP="00C805A8">
      <w:pPr>
        <w:pStyle w:val="aa"/>
        <w:rPr>
          <w:rtl/>
          <w:lang w:eastAsia="he-IL"/>
        </w:rPr>
      </w:pPr>
      <w:r w:rsidRPr="001B66B6">
        <w:rPr>
          <w:rtl/>
          <w:lang w:eastAsia="he-IL"/>
        </w:rPr>
        <w:t>החל מהמועד שכונס הנכסים ממונה, הוא מוגדר כשליח בית הדין ואינו רשאי לפעול אלא עפ"י הוראות בית הדין</w:t>
      </w:r>
      <w:r>
        <w:rPr>
          <w:rFonts w:hint="cs"/>
          <w:rtl/>
          <w:lang w:eastAsia="he-IL"/>
        </w:rPr>
        <w:t>,</w:t>
      </w:r>
      <w:r w:rsidRPr="001B66B6">
        <w:rPr>
          <w:rtl/>
          <w:lang w:eastAsia="he-IL"/>
        </w:rPr>
        <w:t xml:space="preserve"> וככל שיקבל מבעלי הדין הוראות אחרות</w:t>
      </w:r>
      <w:r w:rsidRPr="001B66B6">
        <w:rPr>
          <w:rFonts w:hint="cs"/>
          <w:rtl/>
          <w:lang w:eastAsia="he-IL"/>
        </w:rPr>
        <w:t xml:space="preserve"> שאינן מתיישבות עם הוראות בית הדין</w:t>
      </w:r>
      <w:r w:rsidRPr="001B66B6">
        <w:rPr>
          <w:rtl/>
          <w:lang w:eastAsia="he-IL"/>
        </w:rPr>
        <w:t>, עליו להימנע מלפעול עפ"י הוראותיהם, הגם שהנידון הוא פירוק שיתוף בנכס השייך להם.</w:t>
      </w:r>
      <w:r w:rsidRPr="001B66B6">
        <w:rPr>
          <w:rFonts w:hint="cs"/>
          <w:rtl/>
          <w:lang w:eastAsia="he-IL"/>
        </w:rPr>
        <w:t xml:space="preserve"> </w:t>
      </w:r>
      <w:r w:rsidR="00ED6E2F">
        <w:rPr>
          <w:rFonts w:hint="cs"/>
          <w:rtl/>
          <w:lang w:eastAsia="he-IL"/>
        </w:rPr>
        <w:t xml:space="preserve">זאת משום </w:t>
      </w:r>
      <w:r w:rsidRPr="001B66B6">
        <w:rPr>
          <w:rFonts w:hint="cs"/>
          <w:rtl/>
          <w:lang w:eastAsia="he-IL"/>
        </w:rPr>
        <w:t xml:space="preserve"> </w:t>
      </w:r>
      <w:r w:rsidR="00ED6E2F">
        <w:rPr>
          <w:rFonts w:hint="cs"/>
          <w:rtl/>
          <w:lang w:eastAsia="he-IL"/>
        </w:rPr>
        <w:t>ש</w:t>
      </w:r>
      <w:r w:rsidRPr="001B66B6">
        <w:rPr>
          <w:rFonts w:hint="cs"/>
          <w:rtl/>
          <w:lang w:eastAsia="he-IL"/>
        </w:rPr>
        <w:t>המנדט שניתן לו הוא להוציא לפועל את פסק הדין, הא ותו לא.</w:t>
      </w:r>
      <w:r w:rsidR="00ED6E2F">
        <w:rPr>
          <w:rFonts w:hint="cs"/>
          <w:rtl/>
          <w:lang w:eastAsia="he-IL"/>
        </w:rPr>
        <w:t>..</w:t>
      </w:r>
    </w:p>
    <w:p w14:paraId="1F119D44" w14:textId="6DB74944" w:rsidR="00C805A8" w:rsidRPr="001B66B6" w:rsidRDefault="00C805A8" w:rsidP="00C805A8">
      <w:pPr>
        <w:pStyle w:val="aa"/>
        <w:rPr>
          <w:rtl/>
          <w:lang w:eastAsia="he-IL"/>
        </w:rPr>
      </w:pPr>
      <w:r w:rsidRPr="001B66B6">
        <w:rPr>
          <w:rtl/>
          <w:lang w:eastAsia="he-IL"/>
        </w:rPr>
        <w:lastRenderedPageBreak/>
        <w:t>נחזור לנידון דנן: הדבר פשוט וברור ש</w:t>
      </w:r>
      <w:r w:rsidRPr="001B66B6">
        <w:rPr>
          <w:rFonts w:hint="cs"/>
          <w:rtl/>
          <w:lang w:eastAsia="he-IL"/>
        </w:rPr>
        <w:t>כונס הנכסים הינו שליח בית הדין לביצוע פסק דינו, וזאת מ</w:t>
      </w:r>
      <w:r w:rsidR="00ED6E2F">
        <w:rPr>
          <w:rFonts w:hint="cs"/>
          <w:rtl/>
          <w:lang w:eastAsia="he-IL"/>
        </w:rPr>
        <w:t>פני ש</w:t>
      </w:r>
      <w:r w:rsidRPr="001B66B6">
        <w:rPr>
          <w:rFonts w:hint="cs"/>
          <w:rtl/>
          <w:lang w:eastAsia="he-IL"/>
        </w:rPr>
        <w:t xml:space="preserve">כל </w:t>
      </w:r>
      <w:r w:rsidRPr="001B66B6">
        <w:rPr>
          <w:rtl/>
          <w:lang w:eastAsia="he-IL"/>
        </w:rPr>
        <w:t>מינוי כונס נכסים על ידי בית הדין נועד להביא למימוש פסק הדין, באמצעות שליח בית הדין, ומינויו ופעילותו ה</w:t>
      </w:r>
      <w:r w:rsidR="00ED6E2F">
        <w:rPr>
          <w:rFonts w:hint="cs"/>
          <w:rtl/>
          <w:lang w:eastAsia="he-IL"/>
        </w:rPr>
        <w:t>ם</w:t>
      </w:r>
      <w:r w:rsidRPr="001B66B6">
        <w:rPr>
          <w:rtl/>
          <w:lang w:eastAsia="he-IL"/>
        </w:rPr>
        <w:t xml:space="preserve"> ע</w:t>
      </w:r>
      <w:r w:rsidR="00ED6E2F">
        <w:rPr>
          <w:rFonts w:hint="cs"/>
          <w:rtl/>
          <w:lang w:eastAsia="he-IL"/>
        </w:rPr>
        <w:t>ל</w:t>
      </w:r>
      <w:r w:rsidRPr="001B66B6">
        <w:rPr>
          <w:rtl/>
          <w:lang w:eastAsia="he-IL"/>
        </w:rPr>
        <w:t xml:space="preserve"> דעת הכללים הקבועים בחוק ובתקנות הרלבנטיות. כיוון שכן כונס הנכסים נאמן ביחס לפעולות שביצע כל עוד לא התברר אחרת. ודינו כשליח בית הדין, לכל מה שעשה בתוקף תפקידו ככונס נכסים.</w:t>
      </w:r>
    </w:p>
    <w:p w14:paraId="01CB08E8" w14:textId="77777777" w:rsidR="00C805A8" w:rsidRPr="001B66B6" w:rsidRDefault="00C805A8" w:rsidP="00C805A8">
      <w:pPr>
        <w:pStyle w:val="aa"/>
        <w:rPr>
          <w:rtl/>
          <w:lang w:eastAsia="he-IL"/>
        </w:rPr>
      </w:pPr>
      <w:r w:rsidRPr="001B66B6">
        <w:rPr>
          <w:rtl/>
          <w:lang w:eastAsia="he-IL"/>
        </w:rPr>
        <w:t>גם כשכינוס הנכסים, הוסכם על בעלי הדין, עדיין מעמדו של כונס הנכסים הוא במעמד של שליח בית הדין האמון על ביצוע פסק הדין. וגם ביחס לנידון זה יש לקבוע את היסוד שכתב</w:t>
      </w:r>
      <w:r w:rsidRPr="001B66B6">
        <w:rPr>
          <w:rFonts w:hint="cs"/>
          <w:rtl/>
          <w:lang w:eastAsia="he-IL"/>
        </w:rPr>
        <w:t xml:space="preserve">ו </w:t>
      </w:r>
      <w:proofErr w:type="spellStart"/>
      <w:r w:rsidRPr="001B66B6">
        <w:rPr>
          <w:rFonts w:hint="cs"/>
          <w:rtl/>
          <w:lang w:eastAsia="he-IL"/>
        </w:rPr>
        <w:t>הרשב"א</w:t>
      </w:r>
      <w:proofErr w:type="spellEnd"/>
      <w:r w:rsidRPr="001B66B6">
        <w:rPr>
          <w:rtl/>
          <w:lang w:eastAsia="he-IL"/>
        </w:rPr>
        <w:t xml:space="preserve"> </w:t>
      </w:r>
      <w:proofErr w:type="spellStart"/>
      <w:r w:rsidRPr="001B66B6">
        <w:rPr>
          <w:rFonts w:hint="cs"/>
          <w:rtl/>
          <w:lang w:eastAsia="he-IL"/>
        </w:rPr>
        <w:t>ו</w:t>
      </w:r>
      <w:r w:rsidRPr="001B66B6">
        <w:rPr>
          <w:rtl/>
          <w:lang w:eastAsia="he-IL"/>
        </w:rPr>
        <w:t>מהריט"</w:t>
      </w:r>
      <w:r>
        <w:rPr>
          <w:rFonts w:hint="cs"/>
          <w:rtl/>
          <w:lang w:eastAsia="he-IL"/>
        </w:rPr>
        <w:t>ץ</w:t>
      </w:r>
      <w:proofErr w:type="spellEnd"/>
      <w:r w:rsidRPr="001B66B6">
        <w:rPr>
          <w:rFonts w:hint="cs"/>
          <w:rtl/>
          <w:lang w:eastAsia="he-IL"/>
        </w:rPr>
        <w:t xml:space="preserve"> בתשובתו הנזכרת,</w:t>
      </w:r>
      <w:r w:rsidRPr="001B66B6">
        <w:rPr>
          <w:rtl/>
          <w:lang w:eastAsia="he-IL"/>
        </w:rPr>
        <w:t xml:space="preserve"> שאם מנהג פשוט שהפעילות נעשית בדרך מסוימת עם כללים ידועים, הרי שעל דעת המנהג הוא פועל.</w:t>
      </w:r>
    </w:p>
    <w:p w14:paraId="65215F88" w14:textId="244269C5" w:rsidR="00C805A8" w:rsidRDefault="00C805A8" w:rsidP="00C805A8">
      <w:pPr>
        <w:pStyle w:val="aa"/>
        <w:rPr>
          <w:rtl/>
          <w:lang w:eastAsia="he-IL"/>
        </w:rPr>
      </w:pPr>
      <w:r w:rsidRPr="001B66B6">
        <w:rPr>
          <w:rtl/>
          <w:lang w:eastAsia="he-IL"/>
        </w:rPr>
        <w:t>ביחס לשכ"ט כונסי הנכסים. השכר המירבי הקבוע בחוק הוא 4%+מע"מ. יצוין לסעיף 7</w:t>
      </w:r>
      <w:r>
        <w:rPr>
          <w:rFonts w:hint="cs"/>
          <w:rtl/>
          <w:lang w:eastAsia="he-IL"/>
        </w:rPr>
        <w:t xml:space="preserve"> </w:t>
      </w:r>
      <w:r w:rsidRPr="001B66B6">
        <w:rPr>
          <w:rtl/>
          <w:lang w:eastAsia="he-IL"/>
        </w:rPr>
        <w:t xml:space="preserve">ד' לחוק בתי דין דתיים </w:t>
      </w:r>
      <w:r w:rsidRPr="00A706AF">
        <w:rPr>
          <w:szCs w:val="24"/>
          <w:rtl/>
          <w:lang w:eastAsia="he-IL"/>
        </w:rPr>
        <w:t>(כפיית ציות ודרכי דיון)</w:t>
      </w:r>
      <w:r w:rsidRPr="001B66B6">
        <w:rPr>
          <w:rtl/>
          <w:lang w:eastAsia="he-IL"/>
        </w:rPr>
        <w:t>, התשט"ז-1957, הנזכר לעיל המפנה אל הכללים החלים לעניין תיקי משפחה, והשיעור הנ"ל הוא המירבי, כמפורט בתקנה 258</w:t>
      </w:r>
      <w:r>
        <w:rPr>
          <w:rFonts w:hint="cs"/>
          <w:rtl/>
          <w:lang w:eastAsia="he-IL"/>
        </w:rPr>
        <w:t xml:space="preserve"> </w:t>
      </w:r>
      <w:proofErr w:type="spellStart"/>
      <w:r w:rsidRPr="001B66B6">
        <w:rPr>
          <w:rtl/>
          <w:lang w:eastAsia="he-IL"/>
        </w:rPr>
        <w:t>טז</w:t>
      </w:r>
      <w:proofErr w:type="spellEnd"/>
      <w:r w:rsidRPr="001B66B6">
        <w:rPr>
          <w:rtl/>
          <w:lang w:eastAsia="he-IL"/>
        </w:rPr>
        <w:t xml:space="preserve"> לתקנות סדר הדין האזרחי תשמ"ד – 1984 שבה נקבע - "בית המשפט יקבע את שכרו של כונס נכסים; השכר ש</w:t>
      </w:r>
      <w:r w:rsidR="00ED6E2F">
        <w:rPr>
          <w:rFonts w:hint="cs"/>
          <w:rtl/>
          <w:lang w:eastAsia="he-IL"/>
        </w:rPr>
        <w:t>י</w:t>
      </w:r>
      <w:r w:rsidRPr="001B66B6">
        <w:rPr>
          <w:rtl/>
          <w:lang w:eastAsia="he-IL"/>
        </w:rPr>
        <w:t>יקבע לא יעלה על 4 אחוזים מתקבולי מימוש בדרך של מכירה</w:t>
      </w:r>
      <w:r>
        <w:rPr>
          <w:rFonts w:hint="cs"/>
          <w:rtl/>
          <w:lang w:eastAsia="he-IL"/>
        </w:rPr>
        <w:t>.</w:t>
      </w:r>
    </w:p>
    <w:p w14:paraId="0D403597" w14:textId="77777777" w:rsidR="00C805A8" w:rsidRPr="001B66B6" w:rsidRDefault="00C805A8" w:rsidP="00C805A8">
      <w:pPr>
        <w:pStyle w:val="aa"/>
        <w:rPr>
          <w:rtl/>
          <w:lang w:eastAsia="he-IL"/>
        </w:rPr>
      </w:pPr>
      <w:r w:rsidRPr="001B66B6">
        <w:rPr>
          <w:rtl/>
          <w:lang w:eastAsia="he-IL"/>
        </w:rPr>
        <w:t>יובהר, בהיבט העקרוני, הקריטריונים שינחו את בית הדין או את בית המשפט בבואו לפסוק את שכר הכונס, יהיו:</w:t>
      </w:r>
    </w:p>
    <w:p w14:paraId="73549A59" w14:textId="77777777" w:rsidR="00C805A8" w:rsidRPr="001B66B6" w:rsidRDefault="00C805A8" w:rsidP="00C805A8">
      <w:pPr>
        <w:pStyle w:val="aa"/>
        <w:rPr>
          <w:rtl/>
          <w:lang w:eastAsia="he-IL"/>
        </w:rPr>
      </w:pPr>
      <w:r w:rsidRPr="001B66B6">
        <w:rPr>
          <w:rtl/>
          <w:lang w:eastAsia="he-IL"/>
        </w:rPr>
        <w:t>א. האם ההליך הושלם או בוצע בחלקו בלבד, ומה היו התוצאות הכלכליות שהושגו בהליך הכינוס.</w:t>
      </w:r>
      <w:r>
        <w:rPr>
          <w:rFonts w:hint="cs"/>
          <w:rtl/>
          <w:lang w:eastAsia="he-IL"/>
        </w:rPr>
        <w:t xml:space="preserve"> </w:t>
      </w:r>
      <w:r w:rsidRPr="001B66B6">
        <w:rPr>
          <w:rtl/>
          <w:lang w:eastAsia="he-IL"/>
        </w:rPr>
        <w:t>ב. שווי הנכס.  ג. הפעולות שנעשו ע"י הכונס, היקפן של הפעולות, ומידת המאמץ והטרחה של הכונס.</w:t>
      </w:r>
      <w:r w:rsidRPr="001B66B6">
        <w:rPr>
          <w:rFonts w:hint="cs"/>
          <w:rtl/>
          <w:lang w:eastAsia="he-IL"/>
        </w:rPr>
        <w:t xml:space="preserve">  </w:t>
      </w:r>
      <w:r w:rsidRPr="001B66B6">
        <w:rPr>
          <w:rtl/>
          <w:lang w:eastAsia="he-IL"/>
        </w:rPr>
        <w:t>ד. ההוצאות שהוציא הכונס במהלך מילוי תפקידו. ה. המומחיות והמוניטין של הכונס.</w:t>
      </w:r>
    </w:p>
    <w:p w14:paraId="0FB246E4" w14:textId="77777777" w:rsidR="00C805A8" w:rsidRPr="00A706AF" w:rsidRDefault="00C805A8" w:rsidP="00C805A8">
      <w:pPr>
        <w:pStyle w:val="aa"/>
        <w:rPr>
          <w:sz w:val="20"/>
          <w:szCs w:val="24"/>
          <w:rtl/>
          <w:lang w:eastAsia="he-IL"/>
        </w:rPr>
      </w:pPr>
      <w:r w:rsidRPr="00A706AF">
        <w:rPr>
          <w:sz w:val="20"/>
          <w:szCs w:val="24"/>
          <w:rtl/>
          <w:lang w:eastAsia="he-IL"/>
        </w:rPr>
        <w:t xml:space="preserve">(ראה: </w:t>
      </w:r>
      <w:proofErr w:type="spellStart"/>
      <w:r w:rsidRPr="00A706AF">
        <w:rPr>
          <w:sz w:val="20"/>
          <w:szCs w:val="24"/>
          <w:rtl/>
          <w:lang w:eastAsia="he-IL"/>
        </w:rPr>
        <w:t>תמ"ש</w:t>
      </w:r>
      <w:proofErr w:type="spellEnd"/>
      <w:r w:rsidRPr="00A706AF">
        <w:rPr>
          <w:sz w:val="20"/>
          <w:szCs w:val="24"/>
          <w:rtl/>
          <w:lang w:eastAsia="he-IL"/>
        </w:rPr>
        <w:t xml:space="preserve"> (ת"א) 5680/98 עו"ד הנריק נ' אביהו שחר (לא פורסם, ניתן ביום 14.6.99) והשווה ע"א 778/81 עו"ד סלומון וולף נ' בנג'מין פ"ד מ(1) 365).</w:t>
      </w:r>
    </w:p>
    <w:p w14:paraId="4556445D" w14:textId="7C124D69" w:rsidR="00C805A8" w:rsidRDefault="00C805A8" w:rsidP="00C805A8">
      <w:pPr>
        <w:pStyle w:val="aa"/>
        <w:rPr>
          <w:rtl/>
          <w:lang w:eastAsia="he-IL"/>
        </w:rPr>
      </w:pPr>
      <w:r w:rsidRPr="001B66B6">
        <w:rPr>
          <w:rtl/>
          <w:lang w:eastAsia="he-IL"/>
        </w:rPr>
        <w:t>אך בסופו של דבר קביעת השכר אינו הליך המתקיים בין בעלי הדין וכונס הנכסים, מאחר שכונס הנכסים אינו שלוחם, ואינו כפועל או קבלן שהצדדים העסיקו אותו, כונס הנכסים הינו שליח בית הדין בלבד שהיעד היחיד שהוא מופקד עליו הינו: מימוש פסק הדין. כיון שכן</w:t>
      </w:r>
      <w:r>
        <w:rPr>
          <w:rFonts w:hint="cs"/>
          <w:rtl/>
          <w:lang w:eastAsia="he-IL"/>
        </w:rPr>
        <w:t>,</w:t>
      </w:r>
      <w:r w:rsidRPr="001B66B6">
        <w:rPr>
          <w:rtl/>
          <w:lang w:eastAsia="he-IL"/>
        </w:rPr>
        <w:t xml:space="preserve"> אין מקום להליך שיפוטי "שמוע בין אחיכם", בין כונס הנכסים לבעלי הדין, וגם אין הכרח לקיים הליך בבית הדין לדיון שבו כונס הכנסים מציג את טענותיו, אלא די שכונס הנכסים יציג בבקשה בכתב את היקף פעילותו, ודי בכך, ולאחר מכן שכרו ייקבע עפ"י שיקול דעת בית הדין, ומאחר שכך הוא הנוהג בערכאות השונות בקביעת שכרו של כונס נכסים, </w:t>
      </w:r>
      <w:proofErr w:type="spellStart"/>
      <w:r w:rsidRPr="001B66B6">
        <w:rPr>
          <w:rtl/>
          <w:lang w:eastAsia="he-IL"/>
        </w:rPr>
        <w:t>אדעתא</w:t>
      </w:r>
      <w:proofErr w:type="spellEnd"/>
      <w:r w:rsidRPr="001B66B6">
        <w:rPr>
          <w:rtl/>
          <w:lang w:eastAsia="he-IL"/>
        </w:rPr>
        <w:t xml:space="preserve"> </w:t>
      </w:r>
      <w:proofErr w:type="spellStart"/>
      <w:r w:rsidRPr="001B66B6">
        <w:rPr>
          <w:rtl/>
          <w:lang w:eastAsia="he-IL"/>
        </w:rPr>
        <w:t>דהכי</w:t>
      </w:r>
      <w:proofErr w:type="spellEnd"/>
      <w:r w:rsidRPr="001B66B6">
        <w:rPr>
          <w:rtl/>
          <w:lang w:eastAsia="he-IL"/>
        </w:rPr>
        <w:t xml:space="preserve"> כונס הנכסים התמנה, ששכרו ייקבע בדרך זו.</w:t>
      </w:r>
      <w:r>
        <w:rPr>
          <w:rFonts w:hint="cs"/>
          <w:rtl/>
          <w:lang w:eastAsia="he-IL"/>
        </w:rPr>
        <w:t>"</w:t>
      </w:r>
    </w:p>
    <w:p w14:paraId="4D2653E4" w14:textId="5896C9AA" w:rsidR="00B36834" w:rsidRDefault="00B36834" w:rsidP="00531EBD">
      <w:pPr>
        <w:pStyle w:val="af"/>
        <w:rPr>
          <w:rtl/>
          <w:lang w:eastAsia="he-IL"/>
        </w:rPr>
      </w:pPr>
      <w:r>
        <w:rPr>
          <w:rFonts w:hint="cs"/>
          <w:rtl/>
          <w:lang w:eastAsia="he-IL"/>
        </w:rPr>
        <w:t xml:space="preserve">בהמשך </w:t>
      </w:r>
      <w:r w:rsidRPr="00531EBD">
        <w:rPr>
          <w:rFonts w:hint="cs"/>
          <w:i/>
          <w:color w:val="000000" w:themeColor="text1"/>
          <w:rtl/>
        </w:rPr>
        <w:t>מתייחס</w:t>
      </w:r>
      <w:r>
        <w:rPr>
          <w:rFonts w:hint="cs"/>
          <w:rtl/>
          <w:lang w:eastAsia="he-IL"/>
        </w:rPr>
        <w:t xml:space="preserve"> הרה"ג אוריאל לביא לנידון שם:</w:t>
      </w:r>
    </w:p>
    <w:p w14:paraId="7B80ED56" w14:textId="718972E0" w:rsidR="00B36834" w:rsidRPr="001B66B6" w:rsidRDefault="00B36834" w:rsidP="00B36834">
      <w:pPr>
        <w:pStyle w:val="aa"/>
        <w:rPr>
          <w:rtl/>
          <w:lang w:eastAsia="he-IL"/>
        </w:rPr>
      </w:pPr>
      <w:r>
        <w:rPr>
          <w:rFonts w:hint="cs"/>
          <w:rtl/>
          <w:lang w:eastAsia="he-IL"/>
        </w:rPr>
        <w:t>"</w:t>
      </w:r>
      <w:r w:rsidRPr="001B66B6">
        <w:rPr>
          <w:rtl/>
          <w:lang w:eastAsia="he-IL"/>
        </w:rPr>
        <w:t xml:space="preserve">במקרה שבפנינו, אנו נוכחים שכונס הנכסים עשה את מלאכתו כמתחייב, עד למועד שבו התברר שקיים הסכם בין הצדדים, שהסכימו </w:t>
      </w:r>
      <w:proofErr w:type="spellStart"/>
      <w:r w:rsidRPr="001B66B6">
        <w:rPr>
          <w:rtl/>
          <w:lang w:eastAsia="he-IL"/>
        </w:rPr>
        <w:t>שהאשה</w:t>
      </w:r>
      <w:proofErr w:type="spellEnd"/>
      <w:r w:rsidRPr="001B66B6">
        <w:rPr>
          <w:rtl/>
          <w:lang w:eastAsia="he-IL"/>
        </w:rPr>
        <w:t xml:space="preserve"> תרכוש את הדירה בירושלים, והאיש ירכוש את הדירה באשקלון, הסכם שלאחר זמן אושר והביא לכך שפעילותו של כונס הנכסים אינה נחוצה.</w:t>
      </w:r>
    </w:p>
    <w:p w14:paraId="49C6AD43" w14:textId="5686C05D" w:rsidR="00BE2125" w:rsidRDefault="00B36834" w:rsidP="00533D2E">
      <w:pPr>
        <w:pStyle w:val="aa"/>
        <w:rPr>
          <w:rtl/>
          <w:lang w:eastAsia="he-IL"/>
        </w:rPr>
      </w:pPr>
      <w:r w:rsidRPr="001B66B6">
        <w:rPr>
          <w:rtl/>
          <w:lang w:eastAsia="he-IL"/>
        </w:rPr>
        <w:t>בנסיבות אלו יש מקום לקצוב את שכרו של כונס הנכסים, שיעמוד על סכום המביא בחשבון את פעילותו, כדלהלן</w:t>
      </w:r>
      <w:r>
        <w:rPr>
          <w:rFonts w:hint="cs"/>
          <w:rtl/>
          <w:lang w:eastAsia="he-IL"/>
        </w:rPr>
        <w:t>..."</w:t>
      </w:r>
    </w:p>
    <w:p w14:paraId="1D30A389" w14:textId="77777777" w:rsidR="00533D2E" w:rsidRDefault="00533D2E" w:rsidP="00533D2E">
      <w:pPr>
        <w:pStyle w:val="aa"/>
        <w:rPr>
          <w:rtl/>
          <w:lang w:eastAsia="he-IL"/>
        </w:rPr>
      </w:pPr>
    </w:p>
    <w:p w14:paraId="7A458755" w14:textId="77777777" w:rsidR="00BE2125" w:rsidRPr="00ED6E2F" w:rsidRDefault="00BE2125" w:rsidP="00BE2125">
      <w:pPr>
        <w:pStyle w:val="af"/>
        <w:rPr>
          <w:rtl/>
        </w:rPr>
      </w:pPr>
      <w:r>
        <w:rPr>
          <w:rFonts w:hint="cs"/>
          <w:rtl/>
        </w:rPr>
        <w:lastRenderedPageBreak/>
        <w:t xml:space="preserve">נמצאנו למדים שביה"ד בוחן את פעולותיו של הכונס, ולעתים הוא לא יקבל את כל מה שהוא אמור היה לקבל, מכיוון שחלק מהפעולות "נחסכו" ממנו בעקבות הסכמות הצדדים. </w:t>
      </w:r>
    </w:p>
    <w:p w14:paraId="62BD0638" w14:textId="7A5630A6" w:rsidR="00777FD0" w:rsidRDefault="00BE2125" w:rsidP="00914C5E">
      <w:pPr>
        <w:pStyle w:val="af"/>
        <w:rPr>
          <w:rtl/>
        </w:rPr>
      </w:pPr>
      <w:r w:rsidRPr="00E86E82">
        <w:rPr>
          <w:rFonts w:hint="cs"/>
          <w:rtl/>
        </w:rPr>
        <w:t>וכתב שם עוד הר</w:t>
      </w:r>
      <w:r>
        <w:rPr>
          <w:rFonts w:hint="cs"/>
          <w:rtl/>
        </w:rPr>
        <w:t>ה"ג</w:t>
      </w:r>
      <w:r w:rsidRPr="00E86E82">
        <w:rPr>
          <w:rFonts w:hint="cs"/>
          <w:rtl/>
        </w:rPr>
        <w:t xml:space="preserve"> חיים </w:t>
      </w:r>
      <w:proofErr w:type="spellStart"/>
      <w:r w:rsidRPr="00E86E82">
        <w:rPr>
          <w:rFonts w:hint="cs"/>
          <w:rtl/>
        </w:rPr>
        <w:t>וידאל</w:t>
      </w:r>
      <w:proofErr w:type="spellEnd"/>
      <w:r w:rsidRPr="00E86E82">
        <w:rPr>
          <w:rFonts w:hint="cs"/>
          <w:rtl/>
        </w:rPr>
        <w:t>:</w:t>
      </w:r>
    </w:p>
    <w:p w14:paraId="57C5B7B8" w14:textId="77777777" w:rsidR="00777FD0" w:rsidRPr="001B66B6" w:rsidRDefault="00777FD0" w:rsidP="00777FD0">
      <w:pPr>
        <w:pStyle w:val="aa"/>
        <w:rPr>
          <w:rtl/>
          <w:lang w:eastAsia="he-IL"/>
        </w:rPr>
      </w:pPr>
      <w:r>
        <w:rPr>
          <w:rFonts w:hint="cs"/>
          <w:rtl/>
          <w:lang w:eastAsia="he-IL"/>
        </w:rPr>
        <w:t>"</w:t>
      </w:r>
      <w:r w:rsidRPr="001B66B6">
        <w:rPr>
          <w:rFonts w:hint="cs"/>
          <w:rtl/>
          <w:lang w:eastAsia="he-IL"/>
        </w:rPr>
        <w:t>לפי הגדרות החוק המ</w:t>
      </w:r>
      <w:r>
        <w:rPr>
          <w:rFonts w:hint="cs"/>
          <w:rtl/>
          <w:lang w:eastAsia="he-IL"/>
        </w:rPr>
        <w:t>וב</w:t>
      </w:r>
      <w:r w:rsidRPr="001B66B6">
        <w:rPr>
          <w:rFonts w:hint="cs"/>
          <w:rtl/>
          <w:lang w:eastAsia="he-IL"/>
        </w:rPr>
        <w:t>אות לעיל, נראה כי שכרו של כונס ניתן עבור שני תפקידים שונים. הא' ניהול של הנכס. ב' מכירתו של הנכס לאחר שביה"ד קבע את מחיר הנכס על פי שמאות, מגיע השלב שביה"ד ממנה כונס לנהל את הנכס לקראת מכירתו, הכונס משמש כעין מתווך בין רוכשים פוטנציאליי</w:t>
      </w:r>
      <w:r w:rsidRPr="001B66B6">
        <w:rPr>
          <w:rFonts w:hint="eastAsia"/>
          <w:rtl/>
          <w:lang w:eastAsia="he-IL"/>
        </w:rPr>
        <w:t>ם</w:t>
      </w:r>
      <w:r w:rsidRPr="001B66B6">
        <w:rPr>
          <w:rFonts w:hint="cs"/>
          <w:rtl/>
          <w:lang w:eastAsia="he-IL"/>
        </w:rPr>
        <w:t xml:space="preserve"> לבין בעלי הכנס. במסגרת ניהול הנכס, על הכונס לרשום הערת אזהרה על הנכס המדובר, עליו לפרסמו, להזמין קונים פוטנציאלים, ליידע את הצדדים על הצעת הרכישה הטובה ביותר ע"י הרוכש פוטנציאלי. לאחר מכן בא השלב של מכירת הנכס לאחד הצדדים או לרוכש הפוטנציאלי, ובכלל זה לערוך התמחרות בין הרוכשים הפוטנציאלים ולערוך הסכם מכר עם הרוכש שזכה בהתמחרות. בכל אחד מהשב</w:t>
      </w:r>
      <w:r>
        <w:rPr>
          <w:rFonts w:hint="cs"/>
          <w:rtl/>
          <w:lang w:eastAsia="he-IL"/>
        </w:rPr>
        <w:t>י</w:t>
      </w:r>
      <w:r w:rsidRPr="001B66B6">
        <w:rPr>
          <w:rFonts w:hint="cs"/>
          <w:rtl/>
          <w:lang w:eastAsia="he-IL"/>
        </w:rPr>
        <w:t xml:space="preserve">לים האלה על הכונס ליידע את ביה"ד כדי לקבל את אישורו להמשיך בשלב הבא. </w:t>
      </w:r>
    </w:p>
    <w:p w14:paraId="5725F026" w14:textId="77777777" w:rsidR="00777FD0" w:rsidRPr="001B66B6" w:rsidRDefault="00777FD0" w:rsidP="00777FD0">
      <w:pPr>
        <w:pStyle w:val="aa"/>
        <w:rPr>
          <w:rtl/>
          <w:lang w:eastAsia="he-IL"/>
        </w:rPr>
      </w:pPr>
      <w:r w:rsidRPr="001B66B6">
        <w:rPr>
          <w:rFonts w:hint="cs"/>
          <w:rtl/>
          <w:lang w:eastAsia="he-IL"/>
        </w:rPr>
        <w:t>לפי החוק שכרו של הכונס לא יעלה על 4% מערך הנכס. וזאת בשונה משכרו של מתווך שלא עולה על 2% מערך הנכס. ההבדל בין שכרו של כונס לשכרו של מתווך נעוץ בעובדה שמלבד עבודת התיווך המוטלת עליו</w:t>
      </w:r>
      <w:r>
        <w:rPr>
          <w:rFonts w:hint="cs"/>
          <w:rtl/>
          <w:lang w:eastAsia="he-IL"/>
        </w:rPr>
        <w:t>,</w:t>
      </w:r>
      <w:r w:rsidRPr="001B66B6">
        <w:rPr>
          <w:rFonts w:hint="cs"/>
          <w:rtl/>
          <w:lang w:eastAsia="he-IL"/>
        </w:rPr>
        <w:t xml:space="preserve"> קודם לכן עליו לנהל את הנכס לקראת מכירתו וכנ"ל, לפיכך מגיע לו תוספת שכר גם על עבודה זו.</w:t>
      </w:r>
    </w:p>
    <w:p w14:paraId="657AC7A1" w14:textId="77777777" w:rsidR="00777FD0" w:rsidRPr="001B66B6" w:rsidRDefault="00777FD0" w:rsidP="00777FD0">
      <w:pPr>
        <w:pStyle w:val="aa"/>
        <w:rPr>
          <w:rtl/>
          <w:lang w:eastAsia="he-IL"/>
        </w:rPr>
      </w:pPr>
      <w:r w:rsidRPr="001B66B6">
        <w:rPr>
          <w:rFonts w:hint="cs"/>
          <w:rtl/>
          <w:lang w:eastAsia="he-IL"/>
        </w:rPr>
        <w:t>יתכן מצב בו הכונס ביצע את מסגרת עבודתו ביחס לניהול הנכס, משום שעשה את כל המוטל עליו במסגרת ההכנה למכירת הנכס, אך לבסוף הנכס לא נמכר, כגון במקרה שלפנינו, שהצדדים הגיעו להסכם לרכוש את הנכס זה מזו. וכעת עולה השאלה האם מגיע לכונס שכר לפחות על ביצוע ניהול הנכס ככל שיתברר שהוא ביצע את כל השלבים המוטלים עליו, או שמא כיון ששכרו של הכונס נקבע מראש לפי אחוזים, ללא הבחנה בין ניהול הנכס לבין מכירתו בפועל, הרי שיש מקום לומר שגדרו כמו מתווך שכל עוד הנכס לא נמכר, לא מגיע לו שכר על עבודתו, למרות שהוא פעל ככל הנדרש כדי להביא לתוצאה.</w:t>
      </w:r>
    </w:p>
    <w:p w14:paraId="324965EC" w14:textId="77777777" w:rsidR="00777FD0" w:rsidRDefault="00777FD0" w:rsidP="00777FD0">
      <w:pPr>
        <w:pStyle w:val="aa"/>
        <w:rPr>
          <w:rtl/>
          <w:lang w:eastAsia="he-IL"/>
        </w:rPr>
      </w:pPr>
      <w:r w:rsidRPr="001B66B6">
        <w:rPr>
          <w:rFonts w:hint="cs"/>
          <w:rtl/>
          <w:lang w:eastAsia="he-IL"/>
        </w:rPr>
        <w:t xml:space="preserve">אכן לפי האמור בתחילת דברינו, שהגדרת מסגרת עבודת הכונס מתחלקת לשנים, הגם כי הוא מקבל שכר אחיד על כלל עבודתו, מכל מקום נראה כי על עבודת הניהול שבוצעה כראוי, מגיע לו שכר כפי שמקובל לשלם על ביצוע עבודה שכזו </w:t>
      </w:r>
      <w:r>
        <w:rPr>
          <w:rtl/>
          <w:lang w:eastAsia="he-IL"/>
        </w:rPr>
        <w:t>–</w:t>
      </w:r>
      <w:r w:rsidRPr="001B66B6">
        <w:rPr>
          <w:rFonts w:hint="cs"/>
          <w:rtl/>
          <w:lang w:eastAsia="he-IL"/>
        </w:rPr>
        <w:t xml:space="preserve"> אם לפי שעות ואם לפי מחיר גלובלי, שאם לא כן, החוק לא היה מבחין בין גובה שכר עבודתו של מתווך לבין גובה שכר עבודתו של כונס.</w:t>
      </w:r>
      <w:r>
        <w:rPr>
          <w:rFonts w:hint="cs"/>
          <w:rtl/>
          <w:lang w:eastAsia="he-IL"/>
        </w:rPr>
        <w:t>..</w:t>
      </w:r>
    </w:p>
    <w:p w14:paraId="44D7E0EE" w14:textId="77777777" w:rsidR="00777FD0" w:rsidRPr="001B66B6" w:rsidRDefault="00777FD0" w:rsidP="00777FD0">
      <w:pPr>
        <w:pStyle w:val="aa"/>
        <w:rPr>
          <w:rtl/>
          <w:lang w:eastAsia="he-IL"/>
        </w:rPr>
      </w:pPr>
      <w:r w:rsidRPr="001B66B6">
        <w:rPr>
          <w:rFonts w:hint="cs"/>
          <w:rtl/>
          <w:lang w:eastAsia="he-IL"/>
        </w:rPr>
        <w:t xml:space="preserve">הנדון ההלכתי המתייחס לקבלן כשבעה"ב חזר בו </w:t>
      </w:r>
      <w:proofErr w:type="spellStart"/>
      <w:r w:rsidRPr="001B66B6">
        <w:rPr>
          <w:rFonts w:hint="cs"/>
          <w:rtl/>
          <w:lang w:eastAsia="he-IL"/>
        </w:rPr>
        <w:t>מלהעסיקו</w:t>
      </w:r>
      <w:proofErr w:type="spellEnd"/>
      <w:r w:rsidRPr="001B66B6">
        <w:rPr>
          <w:rFonts w:hint="cs"/>
          <w:rtl/>
          <w:lang w:eastAsia="he-IL"/>
        </w:rPr>
        <w:t xml:space="preserve"> לאחר שכבר החל במלאכתו, מובא </w:t>
      </w:r>
      <w:proofErr w:type="spellStart"/>
      <w:r w:rsidRPr="001B66B6">
        <w:rPr>
          <w:rFonts w:hint="cs"/>
          <w:rtl/>
          <w:lang w:eastAsia="he-IL"/>
        </w:rPr>
        <w:t>ברמ"א</w:t>
      </w:r>
      <w:proofErr w:type="spellEnd"/>
      <w:r w:rsidRPr="001B66B6">
        <w:rPr>
          <w:rFonts w:hint="cs"/>
          <w:rtl/>
          <w:lang w:eastAsia="he-IL"/>
        </w:rPr>
        <w:t xml:space="preserve"> </w:t>
      </w:r>
      <w:proofErr w:type="spellStart"/>
      <w:r w:rsidRPr="001B66B6">
        <w:rPr>
          <w:rFonts w:hint="cs"/>
          <w:rtl/>
          <w:lang w:eastAsia="he-IL"/>
        </w:rPr>
        <w:t>חו"מ</w:t>
      </w:r>
      <w:proofErr w:type="spellEnd"/>
      <w:r w:rsidRPr="001B66B6">
        <w:rPr>
          <w:rFonts w:hint="cs"/>
          <w:rtl/>
          <w:lang w:eastAsia="he-IL"/>
        </w:rPr>
        <w:t xml:space="preserve"> סימן שלג ס"ד שפסק על פי דברי הטור, כאשר בעה"ב העסיק קבלן והקבלן החל בעבודתו, וחזר בו בעה"ב, יד בעה"ב על התחתונה. ההשלכות הנובעות מקביעה זו, כי ככל שהמלאכה התייקרה, דהיינו במקרה שבכדי שתושלם המלאכה, על בעה"ב להוסיף מכיסו בייחס למחיר שקצב עימם בתחילה, אין זה מפחית משכרם, והם יקבלו את השווי של העבודה שהם כבר ביצעו. יתרה מזו, במקרה שהמלאכה הוזלה, על בעה"ב לשלם להם את ההפרש מעבר למה שצריך להשלים מכיסו עבור גמר המלאכה, </w:t>
      </w:r>
      <w:proofErr w:type="spellStart"/>
      <w:r w:rsidRPr="001B66B6">
        <w:rPr>
          <w:rFonts w:hint="cs"/>
          <w:rtl/>
          <w:lang w:eastAsia="he-IL"/>
        </w:rPr>
        <w:t>ולפ"ז</w:t>
      </w:r>
      <w:proofErr w:type="spellEnd"/>
      <w:r w:rsidRPr="001B66B6">
        <w:rPr>
          <w:rFonts w:hint="cs"/>
          <w:rtl/>
          <w:lang w:eastAsia="he-IL"/>
        </w:rPr>
        <w:t xml:space="preserve"> הקבלן מקבל יותר משווי העבודה שבוצעה, וזהו שיד הקבלן על העליונה. הדברים בוארו </w:t>
      </w:r>
      <w:proofErr w:type="spellStart"/>
      <w:r w:rsidRPr="001B66B6">
        <w:rPr>
          <w:rFonts w:hint="cs"/>
          <w:rtl/>
          <w:lang w:eastAsia="he-IL"/>
        </w:rPr>
        <w:t>בסמ"ע</w:t>
      </w:r>
      <w:proofErr w:type="spellEnd"/>
      <w:r w:rsidRPr="001B66B6">
        <w:rPr>
          <w:rFonts w:hint="cs"/>
          <w:rtl/>
          <w:lang w:eastAsia="he-IL"/>
        </w:rPr>
        <w:t xml:space="preserve"> </w:t>
      </w:r>
      <w:proofErr w:type="spellStart"/>
      <w:r w:rsidRPr="001B66B6">
        <w:rPr>
          <w:rFonts w:hint="cs"/>
          <w:rtl/>
          <w:lang w:eastAsia="he-IL"/>
        </w:rPr>
        <w:t>סקט"ז</w:t>
      </w:r>
      <w:proofErr w:type="spellEnd"/>
      <w:r w:rsidRPr="001B66B6">
        <w:rPr>
          <w:rFonts w:hint="cs"/>
          <w:rtl/>
          <w:lang w:eastAsia="he-IL"/>
        </w:rPr>
        <w:t xml:space="preserve">. כשיטה זו סובר רש"י </w:t>
      </w:r>
      <w:proofErr w:type="spellStart"/>
      <w:r w:rsidRPr="001B66B6">
        <w:rPr>
          <w:rFonts w:hint="cs"/>
          <w:rtl/>
          <w:lang w:eastAsia="he-IL"/>
        </w:rPr>
        <w:t>ב"מ</w:t>
      </w:r>
      <w:proofErr w:type="spellEnd"/>
      <w:r w:rsidRPr="001B66B6">
        <w:rPr>
          <w:rFonts w:hint="cs"/>
          <w:rtl/>
          <w:lang w:eastAsia="he-IL"/>
        </w:rPr>
        <w:t xml:space="preserve"> </w:t>
      </w:r>
      <w:proofErr w:type="spellStart"/>
      <w:r w:rsidRPr="001B66B6">
        <w:rPr>
          <w:rFonts w:hint="cs"/>
          <w:rtl/>
          <w:lang w:eastAsia="he-IL"/>
        </w:rPr>
        <w:t>עו</w:t>
      </w:r>
      <w:proofErr w:type="spellEnd"/>
      <w:r w:rsidRPr="001B66B6">
        <w:rPr>
          <w:rFonts w:hint="cs"/>
          <w:rtl/>
          <w:lang w:eastAsia="he-IL"/>
        </w:rPr>
        <w:t xml:space="preserve"> </w:t>
      </w:r>
      <w:r w:rsidRPr="001B66B6">
        <w:rPr>
          <w:rFonts w:hint="cs"/>
          <w:rtl/>
          <w:lang w:eastAsia="he-IL"/>
        </w:rPr>
        <w:lastRenderedPageBreak/>
        <w:t xml:space="preserve">ע"א ד"ה ואם בעה"ב, וכן פירש </w:t>
      </w:r>
      <w:proofErr w:type="spellStart"/>
      <w:r w:rsidRPr="001B66B6">
        <w:rPr>
          <w:rFonts w:hint="cs"/>
          <w:rtl/>
          <w:lang w:eastAsia="he-IL"/>
        </w:rPr>
        <w:t>הנמוק"י</w:t>
      </w:r>
      <w:proofErr w:type="spellEnd"/>
      <w:r w:rsidRPr="001B66B6">
        <w:rPr>
          <w:rFonts w:hint="cs"/>
          <w:rtl/>
          <w:lang w:eastAsia="he-IL"/>
        </w:rPr>
        <w:t xml:space="preserve">. כאמור מקור הדברים בפסיקת </w:t>
      </w:r>
      <w:proofErr w:type="spellStart"/>
      <w:r w:rsidRPr="001B66B6">
        <w:rPr>
          <w:rFonts w:hint="cs"/>
          <w:rtl/>
          <w:lang w:eastAsia="he-IL"/>
        </w:rPr>
        <w:t>הרמ"א</w:t>
      </w:r>
      <w:proofErr w:type="spellEnd"/>
      <w:r w:rsidRPr="001B66B6">
        <w:rPr>
          <w:rFonts w:hint="cs"/>
          <w:rtl/>
          <w:lang w:eastAsia="he-IL"/>
        </w:rPr>
        <w:t xml:space="preserve"> ה</w:t>
      </w:r>
      <w:r>
        <w:rPr>
          <w:rFonts w:hint="cs"/>
          <w:rtl/>
          <w:lang w:eastAsia="he-IL"/>
        </w:rPr>
        <w:t>וא</w:t>
      </w:r>
      <w:r w:rsidRPr="001B66B6">
        <w:rPr>
          <w:rFonts w:hint="cs"/>
          <w:rtl/>
          <w:lang w:eastAsia="he-IL"/>
        </w:rPr>
        <w:t xml:space="preserve"> דברי הטור, </w:t>
      </w:r>
      <w:proofErr w:type="spellStart"/>
      <w:r w:rsidRPr="001B66B6">
        <w:rPr>
          <w:rFonts w:hint="cs"/>
          <w:rtl/>
          <w:lang w:eastAsia="he-IL"/>
        </w:rPr>
        <w:t>והב"י</w:t>
      </w:r>
      <w:proofErr w:type="spellEnd"/>
      <w:r w:rsidRPr="001B66B6">
        <w:rPr>
          <w:rFonts w:hint="cs"/>
          <w:rtl/>
          <w:lang w:eastAsia="he-IL"/>
        </w:rPr>
        <w:t xml:space="preserve"> לא הגיה על זה כלום.</w:t>
      </w:r>
    </w:p>
    <w:p w14:paraId="28DCEE44" w14:textId="77777777" w:rsidR="00777FD0" w:rsidRDefault="00777FD0" w:rsidP="00777FD0">
      <w:pPr>
        <w:pStyle w:val="aa"/>
        <w:rPr>
          <w:rtl/>
          <w:lang w:eastAsia="he-IL"/>
        </w:rPr>
      </w:pPr>
      <w:r w:rsidRPr="00777FD0">
        <w:rPr>
          <w:rFonts w:hint="cs"/>
          <w:rtl/>
          <w:lang w:eastAsia="he-IL"/>
        </w:rPr>
        <w:t xml:space="preserve">אלא  </w:t>
      </w:r>
      <w:proofErr w:type="spellStart"/>
      <w:r w:rsidRPr="00777FD0">
        <w:rPr>
          <w:rFonts w:hint="cs"/>
          <w:rtl/>
          <w:lang w:eastAsia="he-IL"/>
        </w:rPr>
        <w:t>שבשו"ת</w:t>
      </w:r>
      <w:proofErr w:type="spellEnd"/>
      <w:r w:rsidRPr="00777FD0">
        <w:rPr>
          <w:rFonts w:hint="cs"/>
          <w:rtl/>
          <w:lang w:eastAsia="he-IL"/>
        </w:rPr>
        <w:t xml:space="preserve"> חקרי לב </w:t>
      </w:r>
      <w:proofErr w:type="spellStart"/>
      <w:r w:rsidRPr="00777FD0">
        <w:rPr>
          <w:rFonts w:hint="cs"/>
          <w:rtl/>
          <w:lang w:eastAsia="he-IL"/>
        </w:rPr>
        <w:t>חו"מ</w:t>
      </w:r>
      <w:proofErr w:type="spellEnd"/>
      <w:r w:rsidRPr="00777FD0">
        <w:rPr>
          <w:rFonts w:hint="cs"/>
          <w:rtl/>
          <w:lang w:eastAsia="he-IL"/>
        </w:rPr>
        <w:t xml:space="preserve"> </w:t>
      </w:r>
      <w:proofErr w:type="spellStart"/>
      <w:r w:rsidRPr="00777FD0">
        <w:rPr>
          <w:rFonts w:hint="cs"/>
          <w:rtl/>
          <w:lang w:eastAsia="he-IL"/>
        </w:rPr>
        <w:t>ח"ג</w:t>
      </w:r>
      <w:proofErr w:type="spellEnd"/>
      <w:r w:rsidRPr="00777FD0">
        <w:rPr>
          <w:rFonts w:hint="cs"/>
          <w:rtl/>
          <w:lang w:eastAsia="he-IL"/>
        </w:rPr>
        <w:t xml:space="preserve"> סימן עז האריך להביא שיטות נוספות בדין בעה"ב שחזר בו, ובסוף דבריו הוא מסכם את שיטות הפוסקים כך </w:t>
      </w:r>
      <w:r w:rsidRPr="00A706AF">
        <w:rPr>
          <w:rFonts w:hint="cs"/>
          <w:szCs w:val="24"/>
          <w:rtl/>
          <w:lang w:eastAsia="he-IL"/>
        </w:rPr>
        <w:t>(הנכתב בסוגריים אינו במקור והוא תוספת לשונית לסידור הדברים)</w:t>
      </w:r>
      <w:r w:rsidRPr="00777FD0">
        <w:rPr>
          <w:rFonts w:hint="cs"/>
          <w:rtl/>
          <w:lang w:eastAsia="he-IL"/>
        </w:rPr>
        <w:t>:</w:t>
      </w:r>
    </w:p>
    <w:p w14:paraId="65D024A6" w14:textId="77777777" w:rsidR="00914C5E" w:rsidRPr="001B66B6" w:rsidRDefault="00914C5E" w:rsidP="00914C5E">
      <w:pPr>
        <w:pStyle w:val="af3"/>
        <w:rPr>
          <w:rtl/>
        </w:rPr>
      </w:pPr>
      <w:r>
        <w:rPr>
          <w:rFonts w:hint="cs"/>
          <w:rtl/>
        </w:rPr>
        <w:t>'</w:t>
      </w:r>
      <w:r w:rsidRPr="001B66B6">
        <w:rPr>
          <w:rFonts w:hint="cs"/>
          <w:rtl/>
        </w:rPr>
        <w:t xml:space="preserve">הכלל </w:t>
      </w:r>
      <w:proofErr w:type="spellStart"/>
      <w:r w:rsidRPr="001B66B6">
        <w:rPr>
          <w:rFonts w:hint="cs"/>
          <w:rtl/>
        </w:rPr>
        <w:t>לענין</w:t>
      </w:r>
      <w:proofErr w:type="spellEnd"/>
      <w:r w:rsidRPr="001B66B6">
        <w:rPr>
          <w:rFonts w:hint="cs"/>
          <w:rtl/>
        </w:rPr>
        <w:t xml:space="preserve"> </w:t>
      </w:r>
      <w:proofErr w:type="spellStart"/>
      <w:r w:rsidRPr="001B66B6">
        <w:rPr>
          <w:rFonts w:hint="cs"/>
          <w:rtl/>
        </w:rPr>
        <w:t>דינא</w:t>
      </w:r>
      <w:proofErr w:type="spellEnd"/>
      <w:r w:rsidRPr="001B66B6">
        <w:rPr>
          <w:rFonts w:hint="cs"/>
          <w:rtl/>
        </w:rPr>
        <w:t xml:space="preserve">: דג' מחלוקות </w:t>
      </w:r>
      <w:r w:rsidRPr="00A706AF">
        <w:rPr>
          <w:rFonts w:hint="cs"/>
          <w:szCs w:val="24"/>
          <w:rtl/>
        </w:rPr>
        <w:t>(שיטות)</w:t>
      </w:r>
      <w:r w:rsidRPr="001B66B6">
        <w:rPr>
          <w:rFonts w:hint="cs"/>
          <w:rtl/>
        </w:rPr>
        <w:t xml:space="preserve"> בדבר: </w:t>
      </w:r>
    </w:p>
    <w:p w14:paraId="7D1AEA03" w14:textId="77777777" w:rsidR="00914C5E" w:rsidRPr="001B66B6" w:rsidRDefault="00914C5E" w:rsidP="00914C5E">
      <w:pPr>
        <w:pStyle w:val="af3"/>
        <w:rPr>
          <w:rtl/>
        </w:rPr>
      </w:pPr>
      <w:r w:rsidRPr="00A706AF">
        <w:rPr>
          <w:rFonts w:hint="cs"/>
          <w:szCs w:val="24"/>
          <w:rtl/>
        </w:rPr>
        <w:t>(השיטה)</w:t>
      </w:r>
      <w:r w:rsidRPr="001B66B6">
        <w:rPr>
          <w:rFonts w:hint="cs"/>
          <w:rtl/>
        </w:rPr>
        <w:t xml:space="preserve"> </w:t>
      </w:r>
      <w:proofErr w:type="spellStart"/>
      <w:r w:rsidRPr="001B66B6">
        <w:rPr>
          <w:rFonts w:hint="cs"/>
          <w:rtl/>
        </w:rPr>
        <w:t>הסברא</w:t>
      </w:r>
      <w:proofErr w:type="spellEnd"/>
      <w:r w:rsidRPr="001B66B6">
        <w:rPr>
          <w:rFonts w:hint="cs"/>
          <w:rtl/>
        </w:rPr>
        <w:t xml:space="preserve"> הראשונה הוא בקבלן שהתחיל במלאכה ולא הלך או הלך ולא התחיל וחזר בעה"ב, אין הקבלן מפסיד כלום. דאם מוצא להשתכר בפחות משלים בעה"ב הפחת, ואם אינו מוצא להשתכר גובה שכרו שלם כפועל בטל.</w:t>
      </w:r>
    </w:p>
    <w:p w14:paraId="0C908302" w14:textId="77777777" w:rsidR="00914C5E" w:rsidRPr="001B66B6" w:rsidRDefault="00914C5E" w:rsidP="00914C5E">
      <w:pPr>
        <w:pStyle w:val="af3"/>
        <w:rPr>
          <w:rtl/>
        </w:rPr>
      </w:pPr>
      <w:r w:rsidRPr="00A706AF">
        <w:rPr>
          <w:rFonts w:hint="cs"/>
          <w:szCs w:val="24"/>
          <w:rtl/>
        </w:rPr>
        <w:t>(השיטה)</w:t>
      </w:r>
      <w:r w:rsidRPr="001B66B6">
        <w:rPr>
          <w:rFonts w:hint="cs"/>
          <w:rtl/>
        </w:rPr>
        <w:t xml:space="preserve"> </w:t>
      </w:r>
      <w:proofErr w:type="spellStart"/>
      <w:r w:rsidRPr="001B66B6">
        <w:rPr>
          <w:rFonts w:hint="cs"/>
          <w:rtl/>
        </w:rPr>
        <w:t>השניה</w:t>
      </w:r>
      <w:proofErr w:type="spellEnd"/>
      <w:r w:rsidRPr="001B66B6">
        <w:rPr>
          <w:rFonts w:hint="cs"/>
          <w:rtl/>
        </w:rPr>
        <w:t xml:space="preserve">: </w:t>
      </w:r>
      <w:proofErr w:type="spellStart"/>
      <w:r w:rsidRPr="001B66B6">
        <w:rPr>
          <w:rFonts w:hint="cs"/>
          <w:rtl/>
        </w:rPr>
        <w:t>דבקבלן</w:t>
      </w:r>
      <w:proofErr w:type="spellEnd"/>
      <w:r w:rsidRPr="001B66B6">
        <w:rPr>
          <w:rFonts w:hint="cs"/>
          <w:rtl/>
        </w:rPr>
        <w:t xml:space="preserve"> אם חזר בעה"ב אף לאחר שהתחיל בין שמוצא להשתכר או אינו מוצא, אינו גובה אלא מה שעשה. מיהו אם הוזל המלאכה </w:t>
      </w:r>
      <w:proofErr w:type="spellStart"/>
      <w:r w:rsidRPr="001B66B6">
        <w:rPr>
          <w:rFonts w:hint="cs"/>
          <w:rtl/>
        </w:rPr>
        <w:t>דמרוויח</w:t>
      </w:r>
      <w:proofErr w:type="spellEnd"/>
      <w:r w:rsidRPr="001B66B6">
        <w:rPr>
          <w:rFonts w:hint="cs"/>
          <w:rtl/>
        </w:rPr>
        <w:t xml:space="preserve"> בעה"ב בחזרתו, נותן לו מה שמרוויח במה שעתיד לעשות.</w:t>
      </w:r>
    </w:p>
    <w:p w14:paraId="1EFE9867" w14:textId="77777777" w:rsidR="00914C5E" w:rsidRPr="001B66B6" w:rsidRDefault="00914C5E" w:rsidP="00914C5E">
      <w:pPr>
        <w:pStyle w:val="af3"/>
        <w:rPr>
          <w:rtl/>
        </w:rPr>
      </w:pPr>
      <w:r w:rsidRPr="00A706AF">
        <w:rPr>
          <w:rFonts w:hint="cs"/>
          <w:szCs w:val="24"/>
          <w:rtl/>
        </w:rPr>
        <w:t>(השיטה)</w:t>
      </w:r>
      <w:r w:rsidRPr="001B66B6">
        <w:rPr>
          <w:rFonts w:hint="cs"/>
          <w:rtl/>
        </w:rPr>
        <w:t xml:space="preserve"> </w:t>
      </w:r>
      <w:proofErr w:type="spellStart"/>
      <w:r w:rsidRPr="001B66B6">
        <w:rPr>
          <w:rFonts w:hint="cs"/>
          <w:rtl/>
        </w:rPr>
        <w:t>הסברא</w:t>
      </w:r>
      <w:proofErr w:type="spellEnd"/>
      <w:r w:rsidRPr="001B66B6">
        <w:rPr>
          <w:rFonts w:hint="cs"/>
          <w:rtl/>
        </w:rPr>
        <w:t xml:space="preserve"> </w:t>
      </w:r>
      <w:proofErr w:type="spellStart"/>
      <w:r w:rsidRPr="001B66B6">
        <w:rPr>
          <w:rFonts w:hint="cs"/>
          <w:rtl/>
        </w:rPr>
        <w:t>הג</w:t>
      </w:r>
      <w:proofErr w:type="spellEnd"/>
      <w:r w:rsidRPr="001B66B6">
        <w:rPr>
          <w:rFonts w:hint="cs"/>
          <w:rtl/>
        </w:rPr>
        <w:t xml:space="preserve">': דאף </w:t>
      </w:r>
      <w:proofErr w:type="spellStart"/>
      <w:r w:rsidRPr="001B66B6">
        <w:rPr>
          <w:rFonts w:hint="cs"/>
          <w:rtl/>
        </w:rPr>
        <w:t>דהוזל</w:t>
      </w:r>
      <w:proofErr w:type="spellEnd"/>
      <w:r w:rsidRPr="001B66B6">
        <w:rPr>
          <w:rFonts w:hint="cs"/>
          <w:rtl/>
        </w:rPr>
        <w:t xml:space="preserve"> אינו נותן אלא מה שעשו לבד.</w:t>
      </w:r>
    </w:p>
    <w:p w14:paraId="2829757F" w14:textId="77777777" w:rsidR="00914C5E" w:rsidRPr="001B66B6" w:rsidRDefault="00914C5E" w:rsidP="00914C5E">
      <w:pPr>
        <w:pStyle w:val="af3"/>
        <w:rPr>
          <w:rtl/>
        </w:rPr>
      </w:pPr>
      <w:r w:rsidRPr="00A706AF">
        <w:rPr>
          <w:rFonts w:hint="cs"/>
          <w:szCs w:val="24"/>
          <w:rtl/>
        </w:rPr>
        <w:t>(לסיכום ההלכה)</w:t>
      </w:r>
      <w:r w:rsidRPr="001B66B6">
        <w:rPr>
          <w:rFonts w:hint="cs"/>
          <w:rtl/>
        </w:rPr>
        <w:t xml:space="preserve">: ואם כן אם בעה"ב תפוס בשכר אינו נותן כי אם במה שעשו </w:t>
      </w:r>
      <w:proofErr w:type="spellStart"/>
      <w:r w:rsidRPr="001B66B6">
        <w:rPr>
          <w:rFonts w:hint="cs"/>
          <w:rtl/>
        </w:rPr>
        <w:t>כסברא</w:t>
      </w:r>
      <w:proofErr w:type="spellEnd"/>
      <w:r w:rsidRPr="001B66B6">
        <w:rPr>
          <w:rFonts w:hint="cs"/>
          <w:rtl/>
        </w:rPr>
        <w:t xml:space="preserve"> ג' ואם קבלן תפוס בשכר גובה שכר שלם </w:t>
      </w:r>
      <w:proofErr w:type="spellStart"/>
      <w:r w:rsidRPr="001B66B6">
        <w:rPr>
          <w:rFonts w:hint="cs"/>
          <w:rtl/>
        </w:rPr>
        <w:t>כסברא</w:t>
      </w:r>
      <w:proofErr w:type="spellEnd"/>
      <w:r w:rsidRPr="001B66B6">
        <w:rPr>
          <w:rFonts w:hint="cs"/>
          <w:rtl/>
        </w:rPr>
        <w:t xml:space="preserve"> ראשונה, </w:t>
      </w:r>
      <w:proofErr w:type="spellStart"/>
      <w:r w:rsidRPr="001B66B6">
        <w:rPr>
          <w:rFonts w:hint="cs"/>
          <w:rtl/>
        </w:rPr>
        <w:t>ד</w:t>
      </w:r>
      <w:r>
        <w:rPr>
          <w:rFonts w:hint="cs"/>
          <w:rtl/>
        </w:rPr>
        <w:t>ה</w:t>
      </w:r>
      <w:r w:rsidRPr="001B66B6">
        <w:rPr>
          <w:rFonts w:hint="cs"/>
          <w:rtl/>
        </w:rPr>
        <w:t>מע"ה</w:t>
      </w:r>
      <w:proofErr w:type="spellEnd"/>
      <w:r w:rsidRPr="001B66B6">
        <w:rPr>
          <w:rFonts w:hint="cs"/>
          <w:rtl/>
        </w:rPr>
        <w:t xml:space="preserve">, </w:t>
      </w:r>
      <w:proofErr w:type="spellStart"/>
      <w:r w:rsidRPr="001B66B6">
        <w:rPr>
          <w:rFonts w:hint="cs"/>
          <w:rtl/>
        </w:rPr>
        <w:t>דבכל</w:t>
      </w:r>
      <w:proofErr w:type="spellEnd"/>
      <w:r w:rsidRPr="001B66B6">
        <w:rPr>
          <w:rFonts w:hint="cs"/>
          <w:rtl/>
        </w:rPr>
        <w:t xml:space="preserve"> ספק </w:t>
      </w:r>
      <w:proofErr w:type="spellStart"/>
      <w:r w:rsidRPr="001B66B6">
        <w:rPr>
          <w:rFonts w:hint="cs"/>
          <w:rtl/>
        </w:rPr>
        <w:t>דרוובתא</w:t>
      </w:r>
      <w:proofErr w:type="spellEnd"/>
      <w:r w:rsidRPr="001B66B6">
        <w:rPr>
          <w:rFonts w:hint="cs"/>
          <w:rtl/>
        </w:rPr>
        <w:t xml:space="preserve"> יכול המוחזק לומר קים לי כידוע כך נראה לי להלכה</w:t>
      </w:r>
      <w:r>
        <w:rPr>
          <w:rFonts w:hint="cs"/>
          <w:rtl/>
        </w:rPr>
        <w:t>.'</w:t>
      </w:r>
    </w:p>
    <w:p w14:paraId="47214016" w14:textId="77777777" w:rsidR="00914C5E" w:rsidRDefault="00914C5E" w:rsidP="00914C5E">
      <w:pPr>
        <w:pStyle w:val="aa"/>
        <w:rPr>
          <w:sz w:val="28"/>
          <w:rtl/>
        </w:rPr>
      </w:pPr>
      <w:r w:rsidRPr="001B66B6">
        <w:rPr>
          <w:rFonts w:hint="cs"/>
          <w:sz w:val="28"/>
          <w:rtl/>
        </w:rPr>
        <w:t xml:space="preserve">מכלל הדברים עולה כי השיטה שנפסקה להלכה בדברי </w:t>
      </w:r>
      <w:proofErr w:type="spellStart"/>
      <w:r w:rsidRPr="001B66B6">
        <w:rPr>
          <w:rFonts w:hint="cs"/>
          <w:sz w:val="28"/>
          <w:rtl/>
        </w:rPr>
        <w:t>הרמ"א</w:t>
      </w:r>
      <w:proofErr w:type="spellEnd"/>
      <w:r w:rsidRPr="001B66B6">
        <w:rPr>
          <w:rFonts w:hint="cs"/>
          <w:sz w:val="28"/>
          <w:rtl/>
        </w:rPr>
        <w:t xml:space="preserve"> על פי הטור</w:t>
      </w:r>
      <w:r>
        <w:rPr>
          <w:rFonts w:hint="cs"/>
          <w:sz w:val="28"/>
          <w:rtl/>
        </w:rPr>
        <w:t xml:space="preserve">, </w:t>
      </w:r>
      <w:r w:rsidRPr="001B66B6">
        <w:rPr>
          <w:rFonts w:hint="cs"/>
          <w:sz w:val="28"/>
          <w:rtl/>
        </w:rPr>
        <w:t xml:space="preserve">רש"י </w:t>
      </w:r>
      <w:proofErr w:type="spellStart"/>
      <w:r w:rsidRPr="001B66B6">
        <w:rPr>
          <w:rFonts w:hint="cs"/>
          <w:sz w:val="28"/>
          <w:rtl/>
        </w:rPr>
        <w:t>ונמוק"י</w:t>
      </w:r>
      <w:proofErr w:type="spellEnd"/>
      <w:r w:rsidRPr="001B66B6">
        <w:rPr>
          <w:rFonts w:hint="cs"/>
          <w:sz w:val="28"/>
          <w:rtl/>
        </w:rPr>
        <w:t xml:space="preserve"> היא השיטה </w:t>
      </w:r>
      <w:proofErr w:type="spellStart"/>
      <w:r w:rsidRPr="001B66B6">
        <w:rPr>
          <w:rFonts w:hint="cs"/>
          <w:sz w:val="28"/>
          <w:rtl/>
        </w:rPr>
        <w:t>השניה</w:t>
      </w:r>
      <w:proofErr w:type="spellEnd"/>
      <w:r w:rsidRPr="001B66B6">
        <w:rPr>
          <w:rFonts w:hint="cs"/>
          <w:sz w:val="28"/>
          <w:rtl/>
        </w:rPr>
        <w:t xml:space="preserve"> שהובאה בדברי החקרי לב. אולם החקרי לב מתחשב בדעות המחייבות את בעה"ב רק בסך שווי העבודה שביצעו גם אם העבודה התייקרה, ולכן מצי בעה"ב המוחזק לפטור עצמו לפי שיטה זו </w:t>
      </w:r>
      <w:r w:rsidRPr="00A706AF">
        <w:rPr>
          <w:rFonts w:hint="cs"/>
          <w:sz w:val="28"/>
          <w:szCs w:val="24"/>
          <w:rtl/>
        </w:rPr>
        <w:t xml:space="preserve">(שיטת ר"י ורבינו פרץ </w:t>
      </w:r>
      <w:proofErr w:type="spellStart"/>
      <w:r w:rsidRPr="00A706AF">
        <w:rPr>
          <w:rFonts w:hint="cs"/>
          <w:sz w:val="28"/>
          <w:szCs w:val="24"/>
          <w:rtl/>
        </w:rPr>
        <w:t>בשטמ"ק</w:t>
      </w:r>
      <w:proofErr w:type="spellEnd"/>
      <w:r w:rsidRPr="00A706AF">
        <w:rPr>
          <w:rFonts w:hint="cs"/>
          <w:sz w:val="28"/>
          <w:szCs w:val="24"/>
          <w:rtl/>
        </w:rPr>
        <w:t xml:space="preserve"> בשם </w:t>
      </w:r>
      <w:proofErr w:type="spellStart"/>
      <w:r w:rsidRPr="00A706AF">
        <w:rPr>
          <w:rFonts w:hint="cs"/>
          <w:sz w:val="28"/>
          <w:szCs w:val="24"/>
          <w:rtl/>
        </w:rPr>
        <w:t>ריטב"א</w:t>
      </w:r>
      <w:proofErr w:type="spellEnd"/>
      <w:r w:rsidRPr="00A706AF">
        <w:rPr>
          <w:rFonts w:hint="cs"/>
          <w:sz w:val="28"/>
          <w:szCs w:val="24"/>
          <w:rtl/>
        </w:rPr>
        <w:t xml:space="preserve"> </w:t>
      </w:r>
      <w:proofErr w:type="spellStart"/>
      <w:r w:rsidRPr="00A706AF">
        <w:rPr>
          <w:rFonts w:hint="cs"/>
          <w:sz w:val="28"/>
          <w:szCs w:val="24"/>
          <w:rtl/>
        </w:rPr>
        <w:t>בב"מ</w:t>
      </w:r>
      <w:proofErr w:type="spellEnd"/>
      <w:r w:rsidRPr="00A706AF">
        <w:rPr>
          <w:rFonts w:hint="cs"/>
          <w:sz w:val="28"/>
          <w:szCs w:val="24"/>
          <w:rtl/>
        </w:rPr>
        <w:t xml:space="preserve"> שם)</w:t>
      </w:r>
      <w:r w:rsidRPr="001B66B6">
        <w:rPr>
          <w:rFonts w:hint="cs"/>
          <w:sz w:val="28"/>
          <w:rtl/>
        </w:rPr>
        <w:t xml:space="preserve">. </w:t>
      </w:r>
      <w:proofErr w:type="spellStart"/>
      <w:r w:rsidRPr="001B66B6">
        <w:rPr>
          <w:rFonts w:hint="cs"/>
          <w:sz w:val="28"/>
          <w:rtl/>
        </w:rPr>
        <w:t>ולאידך</w:t>
      </w:r>
      <w:proofErr w:type="spellEnd"/>
      <w:r w:rsidRPr="001B66B6">
        <w:rPr>
          <w:rFonts w:hint="cs"/>
          <w:sz w:val="28"/>
          <w:rtl/>
        </w:rPr>
        <w:t xml:space="preserve"> גיסא מצי הקבלן לקבל יותר משווי העבודה שבוצעה, לפי השיטה </w:t>
      </w:r>
      <w:proofErr w:type="spellStart"/>
      <w:r w:rsidRPr="001B66B6">
        <w:rPr>
          <w:rFonts w:hint="cs"/>
          <w:sz w:val="28"/>
          <w:rtl/>
        </w:rPr>
        <w:t>הג</w:t>
      </w:r>
      <w:proofErr w:type="spellEnd"/>
      <w:r w:rsidRPr="001B66B6">
        <w:rPr>
          <w:rFonts w:hint="cs"/>
          <w:sz w:val="28"/>
          <w:rtl/>
        </w:rPr>
        <w:t>', כשיעור פועל בטל, ובהתאם ליכולתו למצוא עבודה חלופית, ככל שהקבלן מוחזק בכסף.</w:t>
      </w:r>
    </w:p>
    <w:p w14:paraId="08B4A304" w14:textId="7DEEA447" w:rsidR="00914C5E" w:rsidRPr="00914C5E" w:rsidRDefault="00914C5E" w:rsidP="00914C5E">
      <w:pPr>
        <w:pStyle w:val="aa"/>
        <w:rPr>
          <w:sz w:val="28"/>
          <w:rtl/>
        </w:rPr>
      </w:pPr>
      <w:r w:rsidRPr="001B66B6">
        <w:rPr>
          <w:rFonts w:hint="cs"/>
          <w:rtl/>
        </w:rPr>
        <w:t xml:space="preserve">הנוגע </w:t>
      </w:r>
      <w:proofErr w:type="spellStart"/>
      <w:r w:rsidRPr="001B66B6">
        <w:rPr>
          <w:rFonts w:hint="cs"/>
          <w:rtl/>
        </w:rPr>
        <w:t>לני"ד</w:t>
      </w:r>
      <w:proofErr w:type="spellEnd"/>
      <w:r w:rsidRPr="001B66B6">
        <w:rPr>
          <w:rFonts w:hint="cs"/>
          <w:rtl/>
        </w:rPr>
        <w:t xml:space="preserve"> הוא, שהכונס שדינו כקבלן, היה מעונין להמשיך ולהשלים את עבודתו כולל את מכירת הדירה לצד ג' כנדרש ממנו על מינוי ביה"ד, אלא שמחמת שהצדדים הסתדרו בניהם, לא נותר דבר שיש להשלימו. נמצא כי אין הדבר דומה לגמרי לחזרת בעה"ב שהיה בידו להמשיך ולהעסיק את הקבלן, </w:t>
      </w:r>
      <w:proofErr w:type="spellStart"/>
      <w:r w:rsidRPr="001B66B6">
        <w:rPr>
          <w:rFonts w:hint="cs"/>
          <w:rtl/>
        </w:rPr>
        <w:t>משא"כ</w:t>
      </w:r>
      <w:proofErr w:type="spellEnd"/>
      <w:r w:rsidRPr="001B66B6">
        <w:rPr>
          <w:rFonts w:hint="cs"/>
          <w:rtl/>
        </w:rPr>
        <w:t xml:space="preserve"> כאן שאין הדבר תלוי בביה"ד, הו"ל כמזלו של הקבלן שלא התאפשר לו להשלים את מלאכתו. </w:t>
      </w:r>
      <w:proofErr w:type="spellStart"/>
      <w:r w:rsidRPr="001B66B6">
        <w:rPr>
          <w:rFonts w:hint="cs"/>
          <w:rtl/>
        </w:rPr>
        <w:t>ולפ"ז</w:t>
      </w:r>
      <w:proofErr w:type="spellEnd"/>
      <w:r w:rsidRPr="001B66B6">
        <w:rPr>
          <w:rFonts w:hint="cs"/>
          <w:rtl/>
        </w:rPr>
        <w:t xml:space="preserve"> מסתבר שלפי השיטה הראשונה בדברי החקרי לב </w:t>
      </w:r>
      <w:r>
        <w:rPr>
          <w:rFonts w:hint="cs"/>
          <w:rtl/>
        </w:rPr>
        <w:t xml:space="preserve"> </w:t>
      </w:r>
      <w:r w:rsidRPr="001B66B6">
        <w:rPr>
          <w:rFonts w:hint="cs"/>
          <w:rtl/>
        </w:rPr>
        <w:t>אין מגיע לקבלן שכרו כפועל בטל, אלא רק עבור השווי של העבודה שכבר בוצעה על ידו.</w:t>
      </w:r>
      <w:r>
        <w:rPr>
          <w:rFonts w:hint="cs"/>
          <w:rtl/>
        </w:rPr>
        <w:t>..</w:t>
      </w:r>
    </w:p>
    <w:p w14:paraId="14DE9072" w14:textId="7D395326" w:rsidR="00914C5E" w:rsidRDefault="00914C5E" w:rsidP="00914C5E">
      <w:pPr>
        <w:pStyle w:val="aa"/>
        <w:rPr>
          <w:rtl/>
        </w:rPr>
      </w:pPr>
      <w:r>
        <w:rPr>
          <w:rFonts w:hint="cs"/>
          <w:rtl/>
        </w:rPr>
        <w:t xml:space="preserve">במקרה </w:t>
      </w:r>
      <w:r w:rsidRPr="001B66B6">
        <w:rPr>
          <w:rFonts w:hint="cs"/>
          <w:rtl/>
        </w:rPr>
        <w:t xml:space="preserve">דומה שנדון בפני ביה"ד </w:t>
      </w:r>
      <w:r>
        <w:rPr>
          <w:rFonts w:hint="cs"/>
          <w:rtl/>
        </w:rPr>
        <w:t>ב</w:t>
      </w:r>
      <w:r w:rsidRPr="001B66B6">
        <w:rPr>
          <w:rFonts w:hint="cs"/>
          <w:rtl/>
        </w:rPr>
        <w:t xml:space="preserve">נתניה </w:t>
      </w:r>
      <w:bookmarkStart w:id="1" w:name="_Hlk89898518"/>
      <w:r>
        <w:rPr>
          <w:rFonts w:hint="cs"/>
          <w:rtl/>
        </w:rPr>
        <w:t xml:space="preserve"> כתב </w:t>
      </w:r>
      <w:proofErr w:type="spellStart"/>
      <w:r>
        <w:rPr>
          <w:rFonts w:hint="cs"/>
          <w:rtl/>
        </w:rPr>
        <w:t>הגרח"ש</w:t>
      </w:r>
      <w:proofErr w:type="spellEnd"/>
      <w:r>
        <w:rPr>
          <w:rFonts w:hint="cs"/>
          <w:rtl/>
        </w:rPr>
        <w:t xml:space="preserve"> רוזנטל </w:t>
      </w:r>
      <w:proofErr w:type="spellStart"/>
      <w:r>
        <w:rPr>
          <w:rFonts w:hint="cs"/>
          <w:rtl/>
        </w:rPr>
        <w:t>שליט"א</w:t>
      </w:r>
      <w:proofErr w:type="spellEnd"/>
      <w:r>
        <w:rPr>
          <w:rFonts w:hint="cs"/>
          <w:rtl/>
        </w:rPr>
        <w:t xml:space="preserve"> </w:t>
      </w:r>
      <w:r w:rsidRPr="00A706AF">
        <w:rPr>
          <w:rFonts w:hint="cs"/>
          <w:szCs w:val="24"/>
          <w:rtl/>
        </w:rPr>
        <w:t xml:space="preserve">(פורסם </w:t>
      </w:r>
      <w:proofErr w:type="spellStart"/>
      <w:r w:rsidRPr="00A706AF">
        <w:rPr>
          <w:rFonts w:hint="cs"/>
          <w:szCs w:val="24"/>
          <w:rtl/>
        </w:rPr>
        <w:t>בפד"ר</w:t>
      </w:r>
      <w:proofErr w:type="spellEnd"/>
      <w:r w:rsidRPr="00A706AF">
        <w:rPr>
          <w:rFonts w:hint="cs"/>
          <w:szCs w:val="24"/>
          <w:rtl/>
        </w:rPr>
        <w:t xml:space="preserve"> </w:t>
      </w:r>
      <w:r w:rsidRPr="00A706AF">
        <w:rPr>
          <w:szCs w:val="24"/>
          <w:rtl/>
        </w:rPr>
        <w:t>חלק כ</w:t>
      </w:r>
      <w:r w:rsidRPr="00A706AF">
        <w:rPr>
          <w:rFonts w:hint="cs"/>
          <w:szCs w:val="24"/>
          <w:rtl/>
        </w:rPr>
        <w:t>'</w:t>
      </w:r>
      <w:r w:rsidRPr="00A706AF">
        <w:rPr>
          <w:szCs w:val="24"/>
          <w:rtl/>
        </w:rPr>
        <w:t xml:space="preserve"> עמוד 191</w:t>
      </w:r>
      <w:r w:rsidRPr="00A706AF">
        <w:rPr>
          <w:rFonts w:hint="cs"/>
          <w:szCs w:val="24"/>
          <w:rtl/>
        </w:rPr>
        <w:t>)</w:t>
      </w:r>
      <w:bookmarkEnd w:id="1"/>
      <w:r>
        <w:rPr>
          <w:rFonts w:hint="cs"/>
          <w:rtl/>
        </w:rPr>
        <w:t xml:space="preserve"> :</w:t>
      </w:r>
    </w:p>
    <w:p w14:paraId="39581D89" w14:textId="77777777" w:rsidR="00914C5E" w:rsidRDefault="00914C5E" w:rsidP="00914C5E">
      <w:pPr>
        <w:pStyle w:val="af3"/>
        <w:rPr>
          <w:rtl/>
        </w:rPr>
      </w:pPr>
      <w:r>
        <w:rPr>
          <w:rFonts w:hint="cs"/>
          <w:rtl/>
        </w:rPr>
        <w:t>'</w:t>
      </w:r>
      <w:r w:rsidRPr="00E86E82">
        <w:rPr>
          <w:rtl/>
        </w:rPr>
        <w:t xml:space="preserve">אכן זה ודאי אם שני הצדדים חוזרים בהם לגמרי מכוונתם למכור הנכס, ודאי </w:t>
      </w:r>
      <w:proofErr w:type="spellStart"/>
      <w:r w:rsidRPr="00E86E82">
        <w:rPr>
          <w:rtl/>
        </w:rPr>
        <w:t>דבכה"ג</w:t>
      </w:r>
      <w:proofErr w:type="spellEnd"/>
      <w:r w:rsidRPr="00E86E82">
        <w:rPr>
          <w:rtl/>
        </w:rPr>
        <w:t xml:space="preserve"> ישלמו לכונס נכסים רק הוצאותיו</w:t>
      </w:r>
      <w:r>
        <w:rPr>
          <w:rFonts w:hint="cs"/>
          <w:rtl/>
        </w:rPr>
        <w:t>,</w:t>
      </w:r>
      <w:r w:rsidRPr="00E86E82">
        <w:rPr>
          <w:rtl/>
        </w:rPr>
        <w:t xml:space="preserve"> משום </w:t>
      </w:r>
      <w:proofErr w:type="spellStart"/>
      <w:r w:rsidRPr="00E86E82">
        <w:rPr>
          <w:rtl/>
        </w:rPr>
        <w:t>שאדעתא</w:t>
      </w:r>
      <w:proofErr w:type="spellEnd"/>
      <w:r w:rsidRPr="00E86E82">
        <w:rPr>
          <w:rtl/>
        </w:rPr>
        <w:t xml:space="preserve"> </w:t>
      </w:r>
      <w:proofErr w:type="spellStart"/>
      <w:r w:rsidRPr="00E86E82">
        <w:rPr>
          <w:rtl/>
        </w:rPr>
        <w:t>דהכי</w:t>
      </w:r>
      <w:proofErr w:type="spellEnd"/>
      <w:r w:rsidRPr="00E86E82">
        <w:rPr>
          <w:rtl/>
        </w:rPr>
        <w:t xml:space="preserve"> לא שכרו אותו </w:t>
      </w:r>
      <w:proofErr w:type="spellStart"/>
      <w:r w:rsidRPr="00E86E82">
        <w:rPr>
          <w:rtl/>
        </w:rPr>
        <w:t>והוי</w:t>
      </w:r>
      <w:proofErr w:type="spellEnd"/>
      <w:r w:rsidRPr="00E86E82">
        <w:rPr>
          <w:rtl/>
        </w:rPr>
        <w:t xml:space="preserve"> דברים שבלב כל אדם ואין צריך להתנות דבר זה</w:t>
      </w:r>
      <w:r>
        <w:rPr>
          <w:rFonts w:hint="cs"/>
          <w:rtl/>
        </w:rPr>
        <w:t>.'"</w:t>
      </w:r>
    </w:p>
    <w:p w14:paraId="0471EC7C" w14:textId="77777777" w:rsidR="00914C5E" w:rsidRDefault="00914C5E" w:rsidP="00914C5E">
      <w:pPr>
        <w:pStyle w:val="af"/>
        <w:rPr>
          <w:rtl/>
        </w:rPr>
      </w:pPr>
      <w:r>
        <w:rPr>
          <w:rFonts w:hint="cs"/>
          <w:rtl/>
        </w:rPr>
        <w:t xml:space="preserve">בסיכום דבריו כתב הרה"ג חיים </w:t>
      </w:r>
      <w:proofErr w:type="spellStart"/>
      <w:r>
        <w:rPr>
          <w:rFonts w:hint="cs"/>
          <w:rtl/>
        </w:rPr>
        <w:t>וידאל</w:t>
      </w:r>
      <w:proofErr w:type="spellEnd"/>
      <w:r>
        <w:rPr>
          <w:rFonts w:hint="cs"/>
          <w:rtl/>
        </w:rPr>
        <w:t>:</w:t>
      </w:r>
    </w:p>
    <w:p w14:paraId="218A111D" w14:textId="77777777" w:rsidR="00914C5E" w:rsidRPr="00E86E82" w:rsidRDefault="00914C5E" w:rsidP="00914C5E">
      <w:pPr>
        <w:pStyle w:val="aa"/>
        <w:rPr>
          <w:rtl/>
        </w:rPr>
      </w:pPr>
      <w:r w:rsidRPr="00E86E82">
        <w:rPr>
          <w:rFonts w:hint="cs"/>
          <w:rtl/>
        </w:rPr>
        <w:lastRenderedPageBreak/>
        <w:t>"</w:t>
      </w:r>
      <w:r w:rsidRPr="00E86E82">
        <w:rPr>
          <w:rtl/>
        </w:rPr>
        <w:t>לאור האמור, לא מגיע לכונס סכום עבור העבודה שלא בוצעה, יחד עם זאת מגיע לו שכר על מה שביצע ביחס לניהול הנכס, ככל שיתברר שהוא ביצע את הפעולות הנדרשות למכירתו כמקובל</w:t>
      </w:r>
      <w:r>
        <w:rPr>
          <w:rFonts w:hint="cs"/>
          <w:rtl/>
        </w:rPr>
        <w:t>...</w:t>
      </w:r>
    </w:p>
    <w:p w14:paraId="4DB8F927" w14:textId="77777777" w:rsidR="00914C5E" w:rsidRDefault="00914C5E" w:rsidP="00914C5E">
      <w:pPr>
        <w:pStyle w:val="aa"/>
        <w:rPr>
          <w:rtl/>
        </w:rPr>
      </w:pPr>
      <w:r>
        <w:rPr>
          <w:rFonts w:hint="cs"/>
          <w:rtl/>
        </w:rPr>
        <w:t>ה</w:t>
      </w:r>
      <w:r w:rsidRPr="00E86E82">
        <w:rPr>
          <w:rtl/>
        </w:rPr>
        <w:t>עולה מכל האמור כי הכונס אינו זכאי לשכ"ט עבור מכירת הדירה כיון שהיא לא נמכרה על ידו, ודינו לעניין זה - כמתווך, שככל הדירה לא נמכרה ע"י, לא מגיע לו שכר למרות שהוא טרח טרחה גדולה כדי למוכרה. בכלל זה, לא מגיע לו שכר כפועל בטל. יחד עם זאת, מגיע לו שכ"ט עבור ניהול הנכס, כהכנה לקראת מכירתה, וזאת ככל שיתברר שהוא פעל כראוי וכמקובל בעניין זה</w:t>
      </w:r>
      <w:r w:rsidRPr="00E86E82">
        <w:t>.</w:t>
      </w:r>
      <w:r w:rsidRPr="00E86E82">
        <w:rPr>
          <w:rFonts w:hint="cs"/>
          <w:rtl/>
        </w:rPr>
        <w:t>"</w:t>
      </w:r>
    </w:p>
    <w:p w14:paraId="4C3B1C71" w14:textId="3EE305E6" w:rsidR="00914C5E" w:rsidRPr="005E466C" w:rsidRDefault="00914C5E" w:rsidP="00914C5E">
      <w:pPr>
        <w:pStyle w:val="af"/>
        <w:rPr>
          <w:rtl/>
        </w:rPr>
      </w:pPr>
      <w:proofErr w:type="spellStart"/>
      <w:r w:rsidRPr="005E466C">
        <w:rPr>
          <w:rFonts w:hint="cs"/>
          <w:rtl/>
        </w:rPr>
        <w:t>יעוין</w:t>
      </w:r>
      <w:proofErr w:type="spellEnd"/>
      <w:r w:rsidRPr="005E466C">
        <w:rPr>
          <w:rFonts w:hint="cs"/>
          <w:rtl/>
        </w:rPr>
        <w:t xml:space="preserve"> עוד בפסק דין של בית הדין </w:t>
      </w:r>
      <w:r>
        <w:rPr>
          <w:rFonts w:hint="cs"/>
          <w:rtl/>
        </w:rPr>
        <w:t>ב</w:t>
      </w:r>
      <w:r w:rsidRPr="005E466C">
        <w:rPr>
          <w:rFonts w:hint="cs"/>
          <w:rtl/>
        </w:rPr>
        <w:t>חיפה</w:t>
      </w:r>
      <w:r>
        <w:rPr>
          <w:rFonts w:hint="cs"/>
          <w:rtl/>
        </w:rPr>
        <w:t xml:space="preserve"> </w:t>
      </w:r>
      <w:r w:rsidRPr="00A706AF">
        <w:rPr>
          <w:rFonts w:hint="cs"/>
          <w:szCs w:val="24"/>
          <w:rtl/>
        </w:rPr>
        <w:t xml:space="preserve">(בתיק </w:t>
      </w:r>
      <w:r w:rsidRPr="00A706AF">
        <w:rPr>
          <w:szCs w:val="24"/>
          <w:rtl/>
        </w:rPr>
        <w:t>‏924659/3</w:t>
      </w:r>
      <w:r w:rsidRPr="00A706AF">
        <w:rPr>
          <w:rFonts w:hint="cs"/>
          <w:szCs w:val="24"/>
          <w:rtl/>
        </w:rPr>
        <w:t xml:space="preserve"> בהרכב הדיינים הגאונים </w:t>
      </w:r>
      <w:proofErr w:type="spellStart"/>
      <w:r w:rsidRPr="00A706AF">
        <w:rPr>
          <w:rFonts w:hint="cs"/>
          <w:szCs w:val="24"/>
          <w:rtl/>
        </w:rPr>
        <w:t>האב"ד</w:t>
      </w:r>
      <w:proofErr w:type="spellEnd"/>
      <w:r w:rsidRPr="00A706AF">
        <w:rPr>
          <w:rFonts w:hint="cs"/>
          <w:szCs w:val="24"/>
          <w:rtl/>
        </w:rPr>
        <w:t xml:space="preserve"> הרב יצחק שמואל גמזו, הרב יצחק אושינסקי והרב ישראל דב רוזנטל)</w:t>
      </w:r>
      <w:r>
        <w:rPr>
          <w:rFonts w:hint="cs"/>
          <w:rtl/>
        </w:rPr>
        <w:t xml:space="preserve"> שם כתב </w:t>
      </w:r>
      <w:proofErr w:type="spellStart"/>
      <w:r>
        <w:rPr>
          <w:rFonts w:hint="cs"/>
          <w:rtl/>
        </w:rPr>
        <w:t>ה</w:t>
      </w:r>
      <w:r w:rsidR="00533D2E">
        <w:rPr>
          <w:rFonts w:hint="cs"/>
          <w:rtl/>
        </w:rPr>
        <w:t>גר"י</w:t>
      </w:r>
      <w:proofErr w:type="spellEnd"/>
      <w:r>
        <w:rPr>
          <w:rFonts w:hint="cs"/>
          <w:rtl/>
        </w:rPr>
        <w:t xml:space="preserve"> </w:t>
      </w:r>
      <w:proofErr w:type="spellStart"/>
      <w:r>
        <w:rPr>
          <w:rFonts w:hint="cs"/>
          <w:rtl/>
        </w:rPr>
        <w:t>אושינסקי</w:t>
      </w:r>
      <w:proofErr w:type="spellEnd"/>
      <w:r>
        <w:rPr>
          <w:rFonts w:hint="cs"/>
          <w:rtl/>
        </w:rPr>
        <w:t xml:space="preserve"> כך: </w:t>
      </w:r>
    </w:p>
    <w:p w14:paraId="12BEFBA3" w14:textId="77777777" w:rsidR="00914C5E" w:rsidRPr="005E466C" w:rsidRDefault="00914C5E" w:rsidP="00914C5E">
      <w:pPr>
        <w:pStyle w:val="aa"/>
        <w:rPr>
          <w:lang w:val="x-none"/>
        </w:rPr>
      </w:pPr>
      <w:r>
        <w:rPr>
          <w:rFonts w:hint="cs"/>
          <w:rtl/>
        </w:rPr>
        <w:t>"</w:t>
      </w:r>
      <w:r w:rsidRPr="005E466C">
        <w:rPr>
          <w:rtl/>
        </w:rPr>
        <w:t>באשר לגופה של תביעה, יש מקום לבחון אותה ע"פ גדרי ההלכה, לאור דיני "נהנה", "יורד לשדה חברו", דין "לך ואבוא אחריך" ודיני שכירות פועלים.</w:t>
      </w:r>
    </w:p>
    <w:p w14:paraId="43C854DC" w14:textId="77777777" w:rsidR="00914C5E" w:rsidRPr="005E466C" w:rsidRDefault="00914C5E" w:rsidP="00914C5E">
      <w:pPr>
        <w:pStyle w:val="aa"/>
        <w:rPr>
          <w:rtl/>
        </w:rPr>
      </w:pPr>
      <w:r w:rsidRPr="005E466C">
        <w:rPr>
          <w:rtl/>
        </w:rPr>
        <w:t xml:space="preserve">בהתאם לגדרי ההלכה, אין לדון פה מדין "נהנה" כפשוטו </w:t>
      </w:r>
      <w:r w:rsidRPr="00A706AF">
        <w:rPr>
          <w:szCs w:val="24"/>
          <w:rtl/>
        </w:rPr>
        <w:t xml:space="preserve">(המופיע במקורות שונים, כגון בשולחן ערוך חושן משפט סימן קנח, </w:t>
      </w:r>
      <w:proofErr w:type="spellStart"/>
      <w:r w:rsidRPr="00A706AF">
        <w:rPr>
          <w:szCs w:val="24"/>
          <w:rtl/>
        </w:rPr>
        <w:t>רסד</w:t>
      </w:r>
      <w:proofErr w:type="spellEnd"/>
      <w:r w:rsidRPr="00A706AF">
        <w:rPr>
          <w:szCs w:val="24"/>
          <w:rtl/>
        </w:rPr>
        <w:t xml:space="preserve">, </w:t>
      </w:r>
      <w:proofErr w:type="spellStart"/>
      <w:r w:rsidRPr="00A706AF">
        <w:rPr>
          <w:szCs w:val="24"/>
          <w:rtl/>
        </w:rPr>
        <w:t>שסג</w:t>
      </w:r>
      <w:proofErr w:type="spellEnd"/>
      <w:r w:rsidRPr="00A706AF">
        <w:rPr>
          <w:szCs w:val="24"/>
          <w:rtl/>
        </w:rPr>
        <w:t>, שעה ועוד)</w:t>
      </w:r>
      <w:r w:rsidRPr="005E466C">
        <w:rPr>
          <w:rtl/>
        </w:rPr>
        <w:t>, שהרי הנתבעת</w:t>
      </w:r>
      <w:r>
        <w:rPr>
          <w:rFonts w:hint="cs"/>
          <w:rtl/>
        </w:rPr>
        <w:t xml:space="preserve">- </w:t>
      </w:r>
      <w:r w:rsidRPr="005E466C">
        <w:rPr>
          <w:rtl/>
        </w:rPr>
        <w:t xml:space="preserve">הלקוחה לא נהנתה בפועל משירותיה של עו"ד [ר'] בעניין מכירת הדירה בכינוס. כן אין לדון בהתאם לדיני "יורד לשדה חברו ברשות" המובא בשולחן ערוך חושן משפט סימן שעה סעיף ד, שהרי </w:t>
      </w:r>
      <w:proofErr w:type="spellStart"/>
      <w:r w:rsidRPr="005E466C">
        <w:rPr>
          <w:rtl/>
        </w:rPr>
        <w:t>בכגון</w:t>
      </w:r>
      <w:proofErr w:type="spellEnd"/>
      <w:r w:rsidRPr="005E466C">
        <w:rPr>
          <w:rtl/>
        </w:rPr>
        <w:t xml:space="preserve"> זה החיוב הוא להוצאות, ולעתים אף לשבח, אך בנידון דידן אין ויכוח באשר לתשלומי הוצאות, וכן אין מקום לחייב שבח, שעה שעבודת הכונסת עו"ד [ר'] לא השביחה במאומה, שהרי למעשה הנתבעת לא הפיקה כל תועלת מעבודתה של באת</w:t>
      </w:r>
      <w:r>
        <w:rPr>
          <w:rFonts w:hint="cs"/>
          <w:rtl/>
        </w:rPr>
        <w:t xml:space="preserve">  </w:t>
      </w:r>
      <w:r w:rsidRPr="005E466C">
        <w:rPr>
          <w:rtl/>
        </w:rPr>
        <w:t>כוחה הראשונה באשר למכירת הדירות.</w:t>
      </w:r>
    </w:p>
    <w:p w14:paraId="776C620C" w14:textId="77777777" w:rsidR="00914C5E" w:rsidRPr="005E466C" w:rsidRDefault="00914C5E" w:rsidP="00914C5E">
      <w:pPr>
        <w:pStyle w:val="aa"/>
        <w:rPr>
          <w:rtl/>
        </w:rPr>
      </w:pPr>
      <w:r w:rsidRPr="005E466C">
        <w:rPr>
          <w:rtl/>
        </w:rPr>
        <w:t>באשר לדיני שכירות פועלים האמורים בשולחן ערוך חושן משפט סימנים שלג</w:t>
      </w:r>
      <w:r>
        <w:rPr>
          <w:rFonts w:hint="cs"/>
          <w:rtl/>
        </w:rPr>
        <w:t>-</w:t>
      </w:r>
      <w:r w:rsidRPr="005E466C">
        <w:rPr>
          <w:rtl/>
        </w:rPr>
        <w:t>שלה – אף שם החיוב המקסימאלי הוא על מה שכבר עשה הפועל, לעתים כפועל בטל – ולעתים על המשך המלאכה שיכ</w:t>
      </w:r>
      <w:r>
        <w:rPr>
          <w:rFonts w:hint="cs"/>
          <w:rtl/>
        </w:rPr>
        <w:t>ו</w:t>
      </w:r>
      <w:r w:rsidRPr="005E466C">
        <w:rPr>
          <w:rtl/>
        </w:rPr>
        <w:t xml:space="preserve">ל </w:t>
      </w:r>
      <w:r>
        <w:rPr>
          <w:rFonts w:hint="cs"/>
          <w:rtl/>
        </w:rPr>
        <w:t xml:space="preserve">היה </w:t>
      </w:r>
      <w:r w:rsidRPr="005E466C">
        <w:rPr>
          <w:rtl/>
        </w:rPr>
        <w:t xml:space="preserve">לעשות אך נמנעה ממנו </w:t>
      </w:r>
      <w:r w:rsidRPr="00A706AF">
        <w:rPr>
          <w:szCs w:val="24"/>
          <w:rtl/>
        </w:rPr>
        <w:t>(במקרה של פשיעת השוכר</w:t>
      </w:r>
      <w:r w:rsidRPr="00A706AF">
        <w:rPr>
          <w:rFonts w:hint="cs"/>
          <w:szCs w:val="24"/>
          <w:rtl/>
        </w:rPr>
        <w:t xml:space="preserve">- </w:t>
      </w:r>
      <w:r w:rsidRPr="00A706AF">
        <w:rPr>
          <w:szCs w:val="24"/>
          <w:rtl/>
        </w:rPr>
        <w:t>בעל</w:t>
      </w:r>
      <w:r w:rsidRPr="00A706AF">
        <w:rPr>
          <w:rFonts w:hint="cs"/>
          <w:szCs w:val="24"/>
          <w:rtl/>
        </w:rPr>
        <w:t xml:space="preserve"> </w:t>
      </w:r>
      <w:r w:rsidRPr="00A706AF">
        <w:rPr>
          <w:szCs w:val="24"/>
          <w:rtl/>
        </w:rPr>
        <w:t xml:space="preserve">הבית, כגון האמור בשולחן ערוך שם סימן שלג סעיף א, ובמלמד תורה אף ישלם שכר מושלם כאמור </w:t>
      </w:r>
      <w:proofErr w:type="spellStart"/>
      <w:r w:rsidRPr="00A706AF">
        <w:rPr>
          <w:szCs w:val="24"/>
          <w:rtl/>
        </w:rPr>
        <w:t>בשו"ע</w:t>
      </w:r>
      <w:proofErr w:type="spellEnd"/>
      <w:r w:rsidRPr="00A706AF">
        <w:rPr>
          <w:szCs w:val="24"/>
          <w:rtl/>
        </w:rPr>
        <w:t xml:space="preserve"> </w:t>
      </w:r>
      <w:proofErr w:type="spellStart"/>
      <w:r w:rsidRPr="00A706AF">
        <w:rPr>
          <w:szCs w:val="24"/>
          <w:rtl/>
        </w:rPr>
        <w:t>וברמ"א</w:t>
      </w:r>
      <w:proofErr w:type="spellEnd"/>
      <w:r w:rsidRPr="00A706AF">
        <w:rPr>
          <w:szCs w:val="24"/>
          <w:rtl/>
        </w:rPr>
        <w:t xml:space="preserve"> שם סימן שלד סעיף ג)</w:t>
      </w:r>
      <w:r w:rsidRPr="005E466C">
        <w:rPr>
          <w:rtl/>
        </w:rPr>
        <w:t>, אך אין חיוב עתידי לתשלום שאינו קשור לעצם העבודה אלא סך קבוע שמשלמים הצדדים לקבלנות, כדוגמת נידון דידן.</w:t>
      </w:r>
    </w:p>
    <w:p w14:paraId="13FA564E" w14:textId="77777777" w:rsidR="00914C5E" w:rsidRDefault="00914C5E" w:rsidP="00914C5E">
      <w:pPr>
        <w:pStyle w:val="aa"/>
        <w:rPr>
          <w:rtl/>
        </w:rPr>
      </w:pPr>
      <w:r w:rsidRPr="005E466C">
        <w:rPr>
          <w:rtl/>
        </w:rPr>
        <w:t>בכל מקרה, ע"פ ההלכה לא יהיה ניתן לחייב במניעת רווח של שכר הכינוס המלא, אלא רק בהוצאות של עושה הפעולה, שהרי מניעת רווח מוגדרת "</w:t>
      </w:r>
      <w:proofErr w:type="spellStart"/>
      <w:r w:rsidRPr="005E466C">
        <w:rPr>
          <w:rtl/>
        </w:rPr>
        <w:t>גרמא</w:t>
      </w:r>
      <w:proofErr w:type="spellEnd"/>
      <w:r w:rsidRPr="005E466C">
        <w:rPr>
          <w:rtl/>
        </w:rPr>
        <w:t xml:space="preserve">", שאין לחייבה בבית הדין </w:t>
      </w:r>
      <w:r w:rsidRPr="00A706AF">
        <w:rPr>
          <w:szCs w:val="24"/>
          <w:rtl/>
        </w:rPr>
        <w:t>(בדיני אדם)</w:t>
      </w:r>
      <w:r w:rsidRPr="005E466C">
        <w:rPr>
          <w:rtl/>
        </w:rPr>
        <w:t xml:space="preserve">, כאמור </w:t>
      </w:r>
      <w:proofErr w:type="spellStart"/>
      <w:r w:rsidRPr="005E466C">
        <w:rPr>
          <w:rtl/>
        </w:rPr>
        <w:t>ברמ"א</w:t>
      </w:r>
      <w:proofErr w:type="spellEnd"/>
      <w:r w:rsidRPr="005E466C">
        <w:rPr>
          <w:rtl/>
        </w:rPr>
        <w:t xml:space="preserve"> חושן משפט סימן </w:t>
      </w:r>
      <w:proofErr w:type="spellStart"/>
      <w:r w:rsidRPr="005E466C">
        <w:rPr>
          <w:rtl/>
        </w:rPr>
        <w:t>רצב</w:t>
      </w:r>
      <w:proofErr w:type="spellEnd"/>
      <w:r w:rsidRPr="005E466C">
        <w:rPr>
          <w:rtl/>
        </w:rPr>
        <w:t xml:space="preserve"> סעיף ז, </w:t>
      </w:r>
      <w:proofErr w:type="spellStart"/>
      <w:r w:rsidRPr="005E466C">
        <w:rPr>
          <w:rtl/>
        </w:rPr>
        <w:t>בש"ך</w:t>
      </w:r>
      <w:proofErr w:type="spellEnd"/>
      <w:r w:rsidRPr="005E466C">
        <w:rPr>
          <w:rtl/>
        </w:rPr>
        <w:t xml:space="preserve"> שם </w:t>
      </w:r>
      <w:proofErr w:type="spellStart"/>
      <w:r w:rsidRPr="005E466C">
        <w:rPr>
          <w:rtl/>
        </w:rPr>
        <w:t>ס"ק</w:t>
      </w:r>
      <w:proofErr w:type="spellEnd"/>
      <w:r w:rsidRPr="005E466C">
        <w:rPr>
          <w:rtl/>
        </w:rPr>
        <w:t xml:space="preserve"> טו ובפתחי תשובה שם </w:t>
      </w:r>
      <w:proofErr w:type="spellStart"/>
      <w:r w:rsidRPr="005E466C">
        <w:rPr>
          <w:rtl/>
        </w:rPr>
        <w:t>ס"ק</w:t>
      </w:r>
      <w:proofErr w:type="spellEnd"/>
      <w:r w:rsidRPr="005E466C">
        <w:rPr>
          <w:rtl/>
        </w:rPr>
        <w:t xml:space="preserve"> ח. כן ראה קצות החושן סימן שי </w:t>
      </w:r>
      <w:proofErr w:type="spellStart"/>
      <w:r w:rsidRPr="005E466C">
        <w:rPr>
          <w:rtl/>
        </w:rPr>
        <w:t>ס"ק</w:t>
      </w:r>
      <w:proofErr w:type="spellEnd"/>
      <w:r w:rsidRPr="005E466C">
        <w:rPr>
          <w:rtl/>
        </w:rPr>
        <w:t xml:space="preserve"> א בעניין זה.</w:t>
      </w:r>
    </w:p>
    <w:p w14:paraId="05CDB034" w14:textId="77777777" w:rsidR="00914C5E" w:rsidRPr="005E466C" w:rsidRDefault="00914C5E" w:rsidP="00914C5E">
      <w:pPr>
        <w:pStyle w:val="aa"/>
      </w:pPr>
      <w:r w:rsidRPr="005E466C">
        <w:rPr>
          <w:rtl/>
        </w:rPr>
        <w:t xml:space="preserve">שאלה דומה אודות קבלן שביצע עבודתו ולבסוף בוטלה ההזמנה ע"י בעל הבית, הובאה לפני </w:t>
      </w:r>
      <w:proofErr w:type="spellStart"/>
      <w:r w:rsidRPr="005E466C">
        <w:rPr>
          <w:rtl/>
        </w:rPr>
        <w:t>הרא"ש</w:t>
      </w:r>
      <w:proofErr w:type="spellEnd"/>
      <w:r w:rsidRPr="005E466C">
        <w:rPr>
          <w:rtl/>
        </w:rPr>
        <w:t xml:space="preserve"> </w:t>
      </w:r>
      <w:r w:rsidRPr="00A706AF">
        <w:rPr>
          <w:szCs w:val="24"/>
          <w:rtl/>
        </w:rPr>
        <w:t xml:space="preserve">(שו"ת </w:t>
      </w:r>
      <w:proofErr w:type="spellStart"/>
      <w:r w:rsidRPr="00A706AF">
        <w:rPr>
          <w:szCs w:val="24"/>
          <w:rtl/>
        </w:rPr>
        <w:t>הרא"ש</w:t>
      </w:r>
      <w:proofErr w:type="spellEnd"/>
      <w:r w:rsidRPr="00A706AF">
        <w:rPr>
          <w:szCs w:val="24"/>
          <w:rtl/>
        </w:rPr>
        <w:t>, כלל קד סימן ו)</w:t>
      </w:r>
      <w:r w:rsidRPr="005E466C">
        <w:rPr>
          <w:rtl/>
        </w:rPr>
        <w:t>, ותשובתו מובאת בטור בחושן משפט סוף סימן שלג. וכך מובא בטור שם:</w:t>
      </w:r>
    </w:p>
    <w:p w14:paraId="3EED6167" w14:textId="77777777" w:rsidR="00914C5E" w:rsidRPr="005E466C" w:rsidRDefault="00914C5E" w:rsidP="00914C5E">
      <w:pPr>
        <w:pStyle w:val="af3"/>
        <w:rPr>
          <w:rtl/>
        </w:rPr>
      </w:pPr>
      <w:r>
        <w:rPr>
          <w:rFonts w:hint="cs"/>
          <w:rtl/>
        </w:rPr>
        <w:t>'</w:t>
      </w:r>
      <w:r w:rsidRPr="005E466C">
        <w:rPr>
          <w:rtl/>
        </w:rPr>
        <w:t xml:space="preserve">שאלה, ראובן אמר לאומן 'עשה לי כך וכך דבר פלוני </w:t>
      </w:r>
      <w:proofErr w:type="spellStart"/>
      <w:r w:rsidRPr="005E466C">
        <w:rPr>
          <w:rtl/>
        </w:rPr>
        <w:t>ואקחנו</w:t>
      </w:r>
      <w:proofErr w:type="spellEnd"/>
      <w:r w:rsidRPr="005E466C">
        <w:rPr>
          <w:rtl/>
        </w:rPr>
        <w:t xml:space="preserve"> ממך', ועשה אותן האומן, ואומר לראובן </w:t>
      </w:r>
      <w:proofErr w:type="spellStart"/>
      <w:r w:rsidRPr="005E466C">
        <w:rPr>
          <w:rtl/>
        </w:rPr>
        <w:t>ליקח</w:t>
      </w:r>
      <w:proofErr w:type="spellEnd"/>
      <w:r w:rsidRPr="005E466C">
        <w:rPr>
          <w:rtl/>
        </w:rPr>
        <w:t xml:space="preserve"> המלאכה ואם לא </w:t>
      </w:r>
      <w:proofErr w:type="spellStart"/>
      <w:r w:rsidRPr="005E466C">
        <w:rPr>
          <w:rtl/>
        </w:rPr>
        <w:t>יקחנה</w:t>
      </w:r>
      <w:proofErr w:type="spellEnd"/>
      <w:r w:rsidRPr="005E466C">
        <w:rPr>
          <w:rtl/>
        </w:rPr>
        <w:t xml:space="preserve"> מיד, </w:t>
      </w:r>
      <w:proofErr w:type="spellStart"/>
      <w:r w:rsidRPr="005E466C">
        <w:rPr>
          <w:rtl/>
        </w:rPr>
        <w:t>תיפסד</w:t>
      </w:r>
      <w:proofErr w:type="spellEnd"/>
      <w:r w:rsidRPr="005E466C">
        <w:rPr>
          <w:rtl/>
        </w:rPr>
        <w:t xml:space="preserve">. וראובן אומר 'איני צריך לה'. תשובה, חייב ראובן לפרוע לאומן משום </w:t>
      </w:r>
      <w:proofErr w:type="spellStart"/>
      <w:r w:rsidRPr="005E466C">
        <w:rPr>
          <w:rtl/>
        </w:rPr>
        <w:t>דינא</w:t>
      </w:r>
      <w:proofErr w:type="spellEnd"/>
      <w:r w:rsidRPr="005E466C">
        <w:rPr>
          <w:rtl/>
        </w:rPr>
        <w:t xml:space="preserve"> </w:t>
      </w:r>
      <w:proofErr w:type="spellStart"/>
      <w:r w:rsidRPr="005E466C">
        <w:rPr>
          <w:rtl/>
        </w:rPr>
        <w:t>דגרמי</w:t>
      </w:r>
      <w:proofErr w:type="spellEnd"/>
      <w:r w:rsidRPr="005E466C">
        <w:rPr>
          <w:rtl/>
        </w:rPr>
        <w:t xml:space="preserve">, מידי דהוה אהלכו </w:t>
      </w:r>
      <w:proofErr w:type="spellStart"/>
      <w:r w:rsidRPr="005E466C">
        <w:rPr>
          <w:rtl/>
        </w:rPr>
        <w:t>חמרים</w:t>
      </w:r>
      <w:proofErr w:type="spellEnd"/>
      <w:r w:rsidRPr="005E466C">
        <w:rPr>
          <w:rtl/>
        </w:rPr>
        <w:t xml:space="preserve"> ולא מצאו תבואה, פועלים ומצאו שדה לחה, נותן להם שכרם, כיוון שהפסידו על ידו מלאכת היום, </w:t>
      </w:r>
      <w:proofErr w:type="spellStart"/>
      <w:r w:rsidRPr="005E466C">
        <w:rPr>
          <w:rtl/>
        </w:rPr>
        <w:t>והכא</w:t>
      </w:r>
      <w:proofErr w:type="spellEnd"/>
      <w:r w:rsidRPr="005E466C">
        <w:rPr>
          <w:rtl/>
        </w:rPr>
        <w:t xml:space="preserve"> נמי, על פי דיבורו הפסיד.</w:t>
      </w:r>
      <w:r>
        <w:rPr>
          <w:rFonts w:hint="cs"/>
          <w:rtl/>
        </w:rPr>
        <w:t>'</w:t>
      </w:r>
    </w:p>
    <w:p w14:paraId="33BE9432" w14:textId="77777777" w:rsidR="00914C5E" w:rsidRPr="005E466C" w:rsidRDefault="00914C5E" w:rsidP="00914C5E">
      <w:pPr>
        <w:pStyle w:val="aa"/>
        <w:rPr>
          <w:rtl/>
        </w:rPr>
      </w:pPr>
      <w:r w:rsidRPr="005E466C">
        <w:rPr>
          <w:rtl/>
        </w:rPr>
        <w:lastRenderedPageBreak/>
        <w:t xml:space="preserve">הרי שהסיק שאומן שהתבקש ע"י המזמין לעשות מלאכה, ולבסוף, לאחר עשיית הפעולה, המזמין אינו חפץ בה, חייב המזמין לשלם לאומן את שכרו. חיוב זה הוא </w:t>
      </w:r>
      <w:proofErr w:type="spellStart"/>
      <w:r w:rsidRPr="005E466C">
        <w:rPr>
          <w:rtl/>
        </w:rPr>
        <w:t>מדינא</w:t>
      </w:r>
      <w:proofErr w:type="spellEnd"/>
      <w:r w:rsidRPr="005E466C">
        <w:rPr>
          <w:rtl/>
        </w:rPr>
        <w:t xml:space="preserve"> </w:t>
      </w:r>
      <w:proofErr w:type="spellStart"/>
      <w:r w:rsidRPr="005E466C">
        <w:rPr>
          <w:rtl/>
        </w:rPr>
        <w:t>דגרמי</w:t>
      </w:r>
      <w:proofErr w:type="spellEnd"/>
      <w:r w:rsidRPr="005E466C">
        <w:rPr>
          <w:rtl/>
        </w:rPr>
        <w:t>, דהיינו היזק עקיף שחייבים לשלם עליו.</w:t>
      </w:r>
    </w:p>
    <w:p w14:paraId="31480B98" w14:textId="77777777" w:rsidR="00914C5E" w:rsidRPr="005E466C" w:rsidRDefault="00914C5E" w:rsidP="00914C5E">
      <w:pPr>
        <w:pStyle w:val="aa"/>
        <w:rPr>
          <w:rtl/>
        </w:rPr>
      </w:pPr>
      <w:r w:rsidRPr="005E466C">
        <w:rPr>
          <w:rtl/>
        </w:rPr>
        <w:t xml:space="preserve">דין זה אף נפסק בשולחן ערוך חושן משפט סימן שלג סעיף ח </w:t>
      </w:r>
      <w:r w:rsidRPr="00A706AF">
        <w:rPr>
          <w:szCs w:val="24"/>
          <w:rtl/>
        </w:rPr>
        <w:t xml:space="preserve">(ומוזכר אף בפתחי תשובה </w:t>
      </w:r>
      <w:proofErr w:type="spellStart"/>
      <w:r w:rsidRPr="00A706AF">
        <w:rPr>
          <w:szCs w:val="24"/>
          <w:rtl/>
        </w:rPr>
        <w:t>חו"מ</w:t>
      </w:r>
      <w:proofErr w:type="spellEnd"/>
      <w:r w:rsidRPr="00A706AF">
        <w:rPr>
          <w:szCs w:val="24"/>
          <w:rtl/>
        </w:rPr>
        <w:t xml:space="preserve"> סימן לט </w:t>
      </w:r>
      <w:proofErr w:type="spellStart"/>
      <w:r w:rsidRPr="00A706AF">
        <w:rPr>
          <w:szCs w:val="24"/>
          <w:rtl/>
        </w:rPr>
        <w:t>ס"ק</w:t>
      </w:r>
      <w:proofErr w:type="spellEnd"/>
      <w:r w:rsidRPr="00A706AF">
        <w:rPr>
          <w:szCs w:val="24"/>
          <w:rtl/>
        </w:rPr>
        <w:t xml:space="preserve"> </w:t>
      </w:r>
      <w:proofErr w:type="spellStart"/>
      <w:r w:rsidRPr="00A706AF">
        <w:rPr>
          <w:szCs w:val="24"/>
          <w:rtl/>
        </w:rPr>
        <w:t>יג</w:t>
      </w:r>
      <w:proofErr w:type="spellEnd"/>
      <w:r w:rsidRPr="00A706AF">
        <w:rPr>
          <w:szCs w:val="24"/>
          <w:rtl/>
        </w:rPr>
        <w:t>)</w:t>
      </w:r>
      <w:r w:rsidRPr="005E466C">
        <w:rPr>
          <w:rtl/>
        </w:rPr>
        <w:t xml:space="preserve">. </w:t>
      </w:r>
      <w:proofErr w:type="spellStart"/>
      <w:r w:rsidRPr="005E466C">
        <w:rPr>
          <w:rtl/>
        </w:rPr>
        <w:t>ועי"ש</w:t>
      </w:r>
      <w:proofErr w:type="spellEnd"/>
      <w:r w:rsidRPr="005E466C">
        <w:rPr>
          <w:rtl/>
        </w:rPr>
        <w:t xml:space="preserve"> </w:t>
      </w:r>
      <w:r>
        <w:rPr>
          <w:rFonts w:hint="cs"/>
          <w:rtl/>
        </w:rPr>
        <w:t>ב</w:t>
      </w:r>
      <w:r w:rsidRPr="005E466C">
        <w:rPr>
          <w:rtl/>
        </w:rPr>
        <w:t xml:space="preserve">נתיבות המשפט </w:t>
      </w:r>
      <w:proofErr w:type="spellStart"/>
      <w:r w:rsidRPr="005E466C">
        <w:rPr>
          <w:rtl/>
        </w:rPr>
        <w:t>ס"ק</w:t>
      </w:r>
      <w:proofErr w:type="spellEnd"/>
      <w:r w:rsidRPr="005E466C">
        <w:rPr>
          <w:rtl/>
        </w:rPr>
        <w:t xml:space="preserve"> טו, שאיירי פה שלא אמר לו שיעשה לו העבודה כפועל, אלא רק התחייב לו שאחר שיעשנו לעצמו, יקנה ממנו התוצר בקניין לפי שוויו, ולכן בדבר אבוד חייב </w:t>
      </w:r>
      <w:proofErr w:type="spellStart"/>
      <w:r w:rsidRPr="005E466C">
        <w:rPr>
          <w:rtl/>
        </w:rPr>
        <w:t>מדינא</w:t>
      </w:r>
      <w:proofErr w:type="spellEnd"/>
      <w:r w:rsidRPr="005E466C">
        <w:rPr>
          <w:rtl/>
        </w:rPr>
        <w:t xml:space="preserve"> </w:t>
      </w:r>
      <w:proofErr w:type="spellStart"/>
      <w:r w:rsidRPr="005E466C">
        <w:rPr>
          <w:rtl/>
        </w:rPr>
        <w:t>דגרמי</w:t>
      </w:r>
      <w:proofErr w:type="spellEnd"/>
      <w:r w:rsidRPr="005E466C">
        <w:rPr>
          <w:rtl/>
        </w:rPr>
        <w:t xml:space="preserve">. זאת </w:t>
      </w:r>
      <w:proofErr w:type="spellStart"/>
      <w:r w:rsidRPr="005E466C">
        <w:rPr>
          <w:rtl/>
        </w:rPr>
        <w:t>לאפוקי</w:t>
      </w:r>
      <w:proofErr w:type="spellEnd"/>
      <w:r w:rsidRPr="005E466C">
        <w:rPr>
          <w:rtl/>
        </w:rPr>
        <w:t xml:space="preserve"> האמור בשולחן ערוך חושן משפט סימן שלו סעיף א, שאם שלח פועל לעשות בשל חברו, ואמר לו 'שכרך עלי', חייב לשלם לו שכרו, ששם איירי בשכירות פועל, שאין צריך קניין, שאז חייב אף אם הדבר לא אבוד.</w:t>
      </w:r>
    </w:p>
    <w:p w14:paraId="33F1A05C" w14:textId="77777777" w:rsidR="00914C5E" w:rsidRPr="005E466C" w:rsidRDefault="00914C5E" w:rsidP="00914C5E">
      <w:pPr>
        <w:pStyle w:val="aa"/>
        <w:rPr>
          <w:rtl/>
        </w:rPr>
      </w:pPr>
      <w:r w:rsidRPr="005E466C">
        <w:rPr>
          <w:rtl/>
        </w:rPr>
        <w:t>ואמנם במקרים הנ"ל נראה שחייב שכר מלא, אולם שם איירי שסיים האומן את מלאכתו, אלא שכעת המזמין אינו נזקק לה, וכגון שכונס נכסים מכר דירה ולאחר מכן טוען בעל הדירה שאינו צריך לעבודתו, שוודאי ישלם לו מחיר מלא, שהרי פעולתו בוצעה בין מדין שכירות פועלים או מדין התחייבות, כאמור. אולם בנידון דידן איירי שהאומן לא סיים פעולתו, לכן אין מקום לפסוק מחיר מלא.</w:t>
      </w:r>
    </w:p>
    <w:p w14:paraId="57A1B09A" w14:textId="77777777" w:rsidR="00914C5E" w:rsidRPr="005E466C" w:rsidRDefault="00914C5E" w:rsidP="00914C5E">
      <w:pPr>
        <w:pStyle w:val="aa"/>
        <w:rPr>
          <w:rtl/>
        </w:rPr>
      </w:pPr>
      <w:r w:rsidRPr="005E466C">
        <w:rPr>
          <w:rtl/>
        </w:rPr>
        <w:t xml:space="preserve">חיוב ההוצאות נובע אף </w:t>
      </w:r>
      <w:proofErr w:type="spellStart"/>
      <w:r w:rsidRPr="005E466C">
        <w:rPr>
          <w:rtl/>
        </w:rPr>
        <w:t>מדינא</w:t>
      </w:r>
      <w:proofErr w:type="spellEnd"/>
      <w:r w:rsidRPr="005E466C">
        <w:rPr>
          <w:rtl/>
        </w:rPr>
        <w:t xml:space="preserve"> </w:t>
      </w:r>
      <w:proofErr w:type="spellStart"/>
      <w:r w:rsidRPr="005E466C">
        <w:rPr>
          <w:rtl/>
        </w:rPr>
        <w:t>דגרמי</w:t>
      </w:r>
      <w:proofErr w:type="spellEnd"/>
      <w:r w:rsidRPr="005E466C">
        <w:rPr>
          <w:rtl/>
        </w:rPr>
        <w:t xml:space="preserve">, כדוגמת דין "לך ואבוא אחריך", כך שיש מקום לחייב במקרה שהמלאכה הוזמנה אך לא הושלמה באשמת המזמין, דהיינו שהמזמין ביקש את עשיית הפעולה, ולאחר שהעובד או מקבל הציווי החל לפעול </w:t>
      </w:r>
      <w:r>
        <w:rPr>
          <w:rFonts w:hint="cs"/>
          <w:rtl/>
        </w:rPr>
        <w:t>ב</w:t>
      </w:r>
      <w:r w:rsidRPr="005E466C">
        <w:rPr>
          <w:rtl/>
        </w:rPr>
        <w:t xml:space="preserve">צווי המצווה, פרש המצווה מהפעולה, והתברר שהעובד השקיע זמן, מאמץ או ממון לחינם. וקיימים כמה מקורות בהלכה לכך. בנידון דידן, התובעת עו"ד [ר'] פעלה בשליחותה של הלקוחה, ודין זה מחייב לפחות חיוב הוצאות </w:t>
      </w:r>
      <w:proofErr w:type="spellStart"/>
      <w:r w:rsidRPr="005E466C">
        <w:rPr>
          <w:rtl/>
        </w:rPr>
        <w:t>מדינא</w:t>
      </w:r>
      <w:proofErr w:type="spellEnd"/>
      <w:r w:rsidRPr="005E466C">
        <w:rPr>
          <w:rtl/>
        </w:rPr>
        <w:t xml:space="preserve"> </w:t>
      </w:r>
      <w:proofErr w:type="spellStart"/>
      <w:r w:rsidRPr="005E466C">
        <w:rPr>
          <w:rtl/>
        </w:rPr>
        <w:t>דגרמי</w:t>
      </w:r>
      <w:proofErr w:type="spellEnd"/>
      <w:r w:rsidRPr="005E466C">
        <w:rPr>
          <w:rtl/>
        </w:rPr>
        <w:t xml:space="preserve">. ברם, כאמור, באשר לחיוב הוצאות שהוציאה התובעת כולל תשלום ריאלי לזמן שהושקע בפועל אין ויכוח בין הצדדים. בעניין זה, ראה לדוגמה רמ"א חושן משפט סימן </w:t>
      </w:r>
      <w:proofErr w:type="spellStart"/>
      <w:r w:rsidRPr="005E466C">
        <w:rPr>
          <w:rtl/>
        </w:rPr>
        <w:t>יב</w:t>
      </w:r>
      <w:proofErr w:type="spellEnd"/>
      <w:r w:rsidRPr="005E466C">
        <w:rPr>
          <w:rtl/>
        </w:rPr>
        <w:t xml:space="preserve"> סעיף ה, שם נאמר </w:t>
      </w:r>
      <w:r w:rsidRPr="00A706AF">
        <w:rPr>
          <w:szCs w:val="24"/>
          <w:rtl/>
        </w:rPr>
        <w:t>(דין המרדכי)</w:t>
      </w:r>
      <w:r w:rsidRPr="005E466C">
        <w:rPr>
          <w:rtl/>
        </w:rPr>
        <w:t>:</w:t>
      </w:r>
    </w:p>
    <w:p w14:paraId="7100F336" w14:textId="77777777" w:rsidR="00914C5E" w:rsidRPr="005E466C" w:rsidRDefault="00914C5E" w:rsidP="00914C5E">
      <w:pPr>
        <w:pStyle w:val="af3"/>
        <w:rPr>
          <w:rtl/>
        </w:rPr>
      </w:pPr>
      <w:r>
        <w:rPr>
          <w:rFonts w:hint="cs"/>
          <w:rtl/>
        </w:rPr>
        <w:t>'</w:t>
      </w:r>
      <w:r w:rsidRPr="005E466C">
        <w:rPr>
          <w:rtl/>
        </w:rPr>
        <w:t>מי שאומר לחברו שילכו לדון במקום אחר ואמר לו 'לך ואני אבוא אחריך', והלך, והשני לא הלך אחריו, צריך לשלם לזה שהלך כל יציאותיו.</w:t>
      </w:r>
      <w:r>
        <w:rPr>
          <w:rFonts w:hint="cs"/>
          <w:rtl/>
        </w:rPr>
        <w:t>'</w:t>
      </w:r>
    </w:p>
    <w:p w14:paraId="4C7F54B4" w14:textId="77777777" w:rsidR="00914C5E" w:rsidRPr="005E466C" w:rsidRDefault="00914C5E" w:rsidP="00914C5E">
      <w:pPr>
        <w:pStyle w:val="aa"/>
        <w:rPr>
          <w:rtl/>
        </w:rPr>
      </w:pPr>
      <w:proofErr w:type="spellStart"/>
      <w:r w:rsidRPr="005E466C">
        <w:rPr>
          <w:rtl/>
        </w:rPr>
        <w:t>ועי"ש</w:t>
      </w:r>
      <w:proofErr w:type="spellEnd"/>
      <w:r w:rsidRPr="005E466C">
        <w:rPr>
          <w:rtl/>
        </w:rPr>
        <w:t xml:space="preserve"> פתחי תשובה </w:t>
      </w:r>
      <w:proofErr w:type="spellStart"/>
      <w:r w:rsidRPr="005E466C">
        <w:rPr>
          <w:rtl/>
        </w:rPr>
        <w:t>ס"ק</w:t>
      </w:r>
      <w:proofErr w:type="spellEnd"/>
      <w:r w:rsidRPr="005E466C">
        <w:rPr>
          <w:rtl/>
        </w:rPr>
        <w:t xml:space="preserve"> טו המביא את הדין המובא </w:t>
      </w:r>
      <w:proofErr w:type="spellStart"/>
      <w:r w:rsidRPr="005E466C">
        <w:rPr>
          <w:rtl/>
        </w:rPr>
        <w:t>בשו"ת</w:t>
      </w:r>
      <w:proofErr w:type="spellEnd"/>
      <w:r w:rsidRPr="005E466C">
        <w:rPr>
          <w:rtl/>
        </w:rPr>
        <w:t xml:space="preserve"> חוות יאיר סימן </w:t>
      </w:r>
      <w:proofErr w:type="spellStart"/>
      <w:r w:rsidRPr="005E466C">
        <w:rPr>
          <w:rtl/>
        </w:rPr>
        <w:t>קסח</w:t>
      </w:r>
      <w:proofErr w:type="spellEnd"/>
      <w:r w:rsidRPr="005E466C">
        <w:rPr>
          <w:rtl/>
        </w:rPr>
        <w:t xml:space="preserve">, </w:t>
      </w:r>
      <w:r>
        <w:rPr>
          <w:rFonts w:hint="cs"/>
          <w:rtl/>
        </w:rPr>
        <w:t>ש</w:t>
      </w:r>
      <w:r w:rsidRPr="005E466C">
        <w:rPr>
          <w:rtl/>
        </w:rPr>
        <w:t>פסק שאם מחותנים סיכמו לערוך חתונה במקום מסוים, ולבסוף אחד מהם לא בא למקום המסוכם, והראשון כבר הוציא הוצאות החתונה, אם לא מדובר באונס שקרה לשני הוא חייב לשלם לראשון את הנזקים שנגרמו לו.</w:t>
      </w:r>
    </w:p>
    <w:p w14:paraId="4BE1616B" w14:textId="77777777" w:rsidR="00914C5E" w:rsidRPr="005E466C" w:rsidRDefault="00914C5E" w:rsidP="00914C5E">
      <w:pPr>
        <w:pStyle w:val="aa"/>
        <w:rPr>
          <w:rtl/>
        </w:rPr>
      </w:pPr>
      <w:r w:rsidRPr="005E466C">
        <w:rPr>
          <w:rtl/>
        </w:rPr>
        <w:t xml:space="preserve">כמו כן ראה שולחן אבן העזר סימן נ סעיף ג </w:t>
      </w:r>
      <w:r w:rsidRPr="00A706AF">
        <w:rPr>
          <w:szCs w:val="24"/>
          <w:rtl/>
        </w:rPr>
        <w:t>(דין הרמב"ם)</w:t>
      </w:r>
      <w:r w:rsidRPr="005E466C">
        <w:rPr>
          <w:rtl/>
        </w:rPr>
        <w:t xml:space="preserve">, שם נאמר שאם הכלה חזרה בה מהשידוך לאחר שהחתן הוציא הוצאות על סעודה מקובלת, חייבת לשלם לו </w:t>
      </w:r>
      <w:proofErr w:type="spellStart"/>
      <w:r w:rsidRPr="005E466C">
        <w:rPr>
          <w:rtl/>
        </w:rPr>
        <w:t>הכל</w:t>
      </w:r>
      <w:proofErr w:type="spellEnd"/>
      <w:r w:rsidRPr="005E466C">
        <w:rPr>
          <w:rtl/>
        </w:rPr>
        <w:t xml:space="preserve">, </w:t>
      </w:r>
      <w:proofErr w:type="spellStart"/>
      <w:r w:rsidRPr="005E466C">
        <w:rPr>
          <w:rtl/>
        </w:rPr>
        <w:t>מדינא</w:t>
      </w:r>
      <w:proofErr w:type="spellEnd"/>
      <w:r w:rsidRPr="005E466C">
        <w:rPr>
          <w:rtl/>
        </w:rPr>
        <w:t xml:space="preserve"> </w:t>
      </w:r>
      <w:proofErr w:type="spellStart"/>
      <w:r w:rsidRPr="005E466C">
        <w:rPr>
          <w:rtl/>
        </w:rPr>
        <w:t>דגרמי</w:t>
      </w:r>
      <w:proofErr w:type="spellEnd"/>
      <w:r w:rsidRPr="005E466C">
        <w:rPr>
          <w:rtl/>
        </w:rPr>
        <w:t>. גם דין זה נובע מכוח האמור לעיל, שהרי החתן הוציא הוצאות הסעודה משום שסיכמו ביניהם על השידוך ועל החתונה, והפרת ההסכם באופן חד</w:t>
      </w:r>
      <w:r>
        <w:rPr>
          <w:rFonts w:hint="cs"/>
          <w:rtl/>
        </w:rPr>
        <w:t xml:space="preserve"> - </w:t>
      </w:r>
      <w:r w:rsidRPr="005E466C">
        <w:rPr>
          <w:rtl/>
        </w:rPr>
        <w:t>צדדי גרמה לו להוצאות מיותרות.</w:t>
      </w:r>
    </w:p>
    <w:p w14:paraId="20633285" w14:textId="77777777" w:rsidR="00914C5E" w:rsidRPr="005E466C" w:rsidRDefault="00914C5E" w:rsidP="00914C5E">
      <w:pPr>
        <w:pStyle w:val="aa"/>
        <w:rPr>
          <w:rtl/>
        </w:rPr>
      </w:pPr>
      <w:r w:rsidRPr="005E466C">
        <w:rPr>
          <w:rtl/>
        </w:rPr>
        <w:t xml:space="preserve">העולה מכל האמור ואף ביחס לנידון דנן, שמי שסיכם עם אחר שיעשה פעולה מסוימת, וכגון בנידון דידן – סיכום הנתבעת עם באת כוחה כי היא תמכור עבורה את הדירה בכינוס נכסים, ומזמין הפעולה או השליח הפסיק לשתף פעולה עם הפועל, וכגון בנידון דידן – שהנתבעת ביקשה לבטל את באת כוחה מלמכור את הדירה בכינוס, </w:t>
      </w:r>
      <w:bookmarkStart w:id="2" w:name="_Hlk235355249"/>
      <w:r w:rsidRPr="005E466C">
        <w:rPr>
          <w:rtl/>
        </w:rPr>
        <w:t xml:space="preserve">אזי על הצד שחדל מלשתף פעולה מוטלת החובה לפצות את הצד שעשה פעולה בכל ההוצאות שנגרמו לו, ובנידון דידן – חובה על הנתבעת לשלם לבאת כוחה הראשונה – התובעת דנן – את ההוצאות שהיו </w:t>
      </w:r>
      <w:r w:rsidRPr="005E466C">
        <w:rPr>
          <w:rtl/>
        </w:rPr>
        <w:lastRenderedPageBreak/>
        <w:t>לה, וכן שעות עבודה, פעולות שעשתה לשם מכירת הדירה, והוצאות נלוות, ככל שהיו, כפי הסכמת הנתבעת.</w:t>
      </w:r>
    </w:p>
    <w:p w14:paraId="1895DA55" w14:textId="77777777" w:rsidR="00914C5E" w:rsidRDefault="00914C5E" w:rsidP="00914C5E">
      <w:pPr>
        <w:pStyle w:val="aa"/>
        <w:rPr>
          <w:rtl/>
        </w:rPr>
      </w:pPr>
      <w:r w:rsidRPr="005E466C">
        <w:rPr>
          <w:rtl/>
        </w:rPr>
        <w:t xml:space="preserve">כאמור, בין מדין שכירות פועלים ובין מדין גרמי הקשור לכך, בנסיבות דידן קיימת הסכמה לשלם עבור שעת עבודה ריאלית, </w:t>
      </w:r>
      <w:bookmarkEnd w:id="2"/>
      <w:r w:rsidRPr="005E466C">
        <w:rPr>
          <w:rtl/>
        </w:rPr>
        <w:t>כך שנחסך הדיון מהו סך התשלום עבור שעת עבודה בנסיבות כגון אלו.</w:t>
      </w:r>
      <w:r>
        <w:rPr>
          <w:rFonts w:hint="cs"/>
          <w:rtl/>
        </w:rPr>
        <w:t>"</w:t>
      </w:r>
    </w:p>
    <w:p w14:paraId="45FA0EF3" w14:textId="77777777" w:rsidR="00914C5E" w:rsidRPr="005E466C" w:rsidRDefault="00914C5E" w:rsidP="00914C5E">
      <w:pPr>
        <w:pStyle w:val="af"/>
        <w:rPr>
          <w:rtl/>
        </w:rPr>
      </w:pPr>
      <w:r w:rsidRPr="00531EBD">
        <w:rPr>
          <w:rFonts w:hint="cs"/>
          <w:i/>
          <w:color w:val="000000" w:themeColor="text1"/>
          <w:rtl/>
        </w:rPr>
        <w:t>בהמשך</w:t>
      </w:r>
      <w:r w:rsidRPr="005E466C">
        <w:rPr>
          <w:rFonts w:hint="cs"/>
          <w:rtl/>
        </w:rPr>
        <w:t xml:space="preserve"> כתב בעניין פסיקת ההוצאות:</w:t>
      </w:r>
    </w:p>
    <w:p w14:paraId="251C57CC" w14:textId="3709CD3F" w:rsidR="00914C5E" w:rsidRPr="005E466C" w:rsidRDefault="00914C5E" w:rsidP="00914C5E">
      <w:pPr>
        <w:pStyle w:val="aa"/>
      </w:pPr>
      <w:r>
        <w:rPr>
          <w:rFonts w:hint="cs"/>
          <w:rtl/>
        </w:rPr>
        <w:t>"</w:t>
      </w:r>
      <w:r w:rsidRPr="005E466C">
        <w:rPr>
          <w:rtl/>
        </w:rPr>
        <w:t>הרי שע"פ הפסיקה האזרחית עולה כי כינוס שלא הושלם, יש לבחון היקף התשלום בהתאם לשעות עבודה והיקף הפעולות שבוצעו, אך לא בהתאם לתוצאות הפעולה אם הייתה מגיעה לסיומה.</w:t>
      </w:r>
    </w:p>
    <w:p w14:paraId="4B60E694" w14:textId="77777777" w:rsidR="00914C5E" w:rsidRPr="005E466C" w:rsidRDefault="00914C5E" w:rsidP="00914C5E">
      <w:pPr>
        <w:pStyle w:val="aa"/>
        <w:rPr>
          <w:rtl/>
        </w:rPr>
      </w:pPr>
      <w:r w:rsidRPr="005E466C">
        <w:rPr>
          <w:rtl/>
        </w:rPr>
        <w:t>הרי שהפסיקה האזרחית מכוונת בקירוב לפסיקת ההלכה בסוגיה זו, והעיקרון דומה.</w:t>
      </w:r>
    </w:p>
    <w:p w14:paraId="5F7AA1D1" w14:textId="77777777" w:rsidR="00914C5E" w:rsidRPr="005E466C" w:rsidRDefault="00914C5E" w:rsidP="00914C5E">
      <w:pPr>
        <w:pStyle w:val="aa"/>
        <w:rPr>
          <w:rtl/>
        </w:rPr>
      </w:pPr>
      <w:r w:rsidRPr="005E466C">
        <w:rPr>
          <w:rtl/>
        </w:rPr>
        <w:t xml:space="preserve">בנסיבות דידן, יהיה קשה לברר מהן באמת שעות העבודה והיקף המאמצים שהושקעו בהליך שכבר התקיים. קשה </w:t>
      </w:r>
      <w:proofErr w:type="spellStart"/>
      <w:r w:rsidRPr="005E466C">
        <w:rPr>
          <w:rtl/>
        </w:rPr>
        <w:t>לאמוד</w:t>
      </w:r>
      <w:proofErr w:type="spellEnd"/>
      <w:r w:rsidRPr="005E466C">
        <w:rPr>
          <w:rtl/>
        </w:rPr>
        <w:t xml:space="preserve"> נתונים אלו, וכל שכן שלא יהיה ניתן להוכיחם באופן ממוקד ומדויק.</w:t>
      </w:r>
    </w:p>
    <w:p w14:paraId="7AC60618" w14:textId="26661E20" w:rsidR="000931F4" w:rsidRDefault="00914C5E" w:rsidP="00533D2E">
      <w:pPr>
        <w:pStyle w:val="aa"/>
        <w:rPr>
          <w:rtl/>
        </w:rPr>
      </w:pPr>
      <w:r w:rsidRPr="005E466C">
        <w:rPr>
          <w:rtl/>
        </w:rPr>
        <w:t xml:space="preserve">ובכן, לאחר הפעלת שיקול הדעת, וכפשרה המיוחסת לשעות העבודה שהושקעו </w:t>
      </w:r>
      <w:r w:rsidRPr="00A706AF">
        <w:rPr>
          <w:szCs w:val="24"/>
          <w:rtl/>
        </w:rPr>
        <w:t>(הערכה)</w:t>
      </w:r>
      <w:r w:rsidRPr="005E466C">
        <w:rPr>
          <w:rtl/>
        </w:rPr>
        <w:t xml:space="preserve"> והפעולות שביצעה עו"ד [ר'] בתיק שלא הוכחשו ע"י ב"כ הנתבעת, כולל הוצאות משוערות שהוציאה במסגרת הליך המכירה בכינוס, ולאור העובדה כי הפעולות לא הושלמו במידה זו או אחרת, אך לא באשמת התובעת, ובהתייחס </w:t>
      </w:r>
      <w:proofErr w:type="spellStart"/>
      <w:r w:rsidRPr="005E466C">
        <w:rPr>
          <w:rtl/>
        </w:rPr>
        <w:t>לשוויין</w:t>
      </w:r>
      <w:proofErr w:type="spellEnd"/>
      <w:r w:rsidRPr="005E466C">
        <w:rPr>
          <w:rtl/>
        </w:rPr>
        <w:t xml:space="preserve"> של שתי הדירות שהוצג בדיון הנוסף שהתקיים ביום זה </w:t>
      </w:r>
      <w:r w:rsidRPr="00A706AF">
        <w:rPr>
          <w:szCs w:val="24"/>
          <w:rtl/>
        </w:rPr>
        <w:t xml:space="preserve">(ולאור פסק </w:t>
      </w:r>
      <w:proofErr w:type="spellStart"/>
      <w:r w:rsidRPr="00A706AF">
        <w:rPr>
          <w:szCs w:val="24"/>
          <w:rtl/>
        </w:rPr>
        <w:t>הרא"ש</w:t>
      </w:r>
      <w:proofErr w:type="spellEnd"/>
      <w:r w:rsidRPr="00A706AF">
        <w:rPr>
          <w:szCs w:val="24"/>
          <w:rtl/>
        </w:rPr>
        <w:t xml:space="preserve"> באשר לדין שאינו יכול להתברר לגמרי, המובא בשולחן ערוך חושן משפט סימן </w:t>
      </w:r>
      <w:proofErr w:type="spellStart"/>
      <w:r w:rsidRPr="00A706AF">
        <w:rPr>
          <w:szCs w:val="24"/>
          <w:rtl/>
        </w:rPr>
        <w:t>יב</w:t>
      </w:r>
      <w:proofErr w:type="spellEnd"/>
      <w:r w:rsidRPr="00A706AF">
        <w:rPr>
          <w:szCs w:val="24"/>
          <w:rtl/>
        </w:rPr>
        <w:t xml:space="preserve"> סעיף ה)</w:t>
      </w:r>
      <w:r w:rsidRPr="005E466C">
        <w:rPr>
          <w:rtl/>
        </w:rPr>
        <w:t xml:space="preserve">; בית הדין קובע כי באשר לדירה ברחוב [א'] </w:t>
      </w:r>
      <w:r w:rsidRPr="00A706AF">
        <w:rPr>
          <w:szCs w:val="24"/>
          <w:rtl/>
        </w:rPr>
        <w:t>(הדירה הזולה יותר)</w:t>
      </w:r>
      <w:r w:rsidRPr="005E466C">
        <w:rPr>
          <w:rtl/>
        </w:rPr>
        <w:t xml:space="preserve">, </w:t>
      </w:r>
      <w:proofErr w:type="spellStart"/>
      <w:r w:rsidRPr="005E466C">
        <w:rPr>
          <w:rtl/>
        </w:rPr>
        <w:t>האשה</w:t>
      </w:r>
      <w:proofErr w:type="spellEnd"/>
      <w:r w:rsidRPr="005E466C">
        <w:rPr>
          <w:rtl/>
        </w:rPr>
        <w:t xml:space="preserve"> תשלם לעו"ד [ר'] סך של 0.5 אחוז </w:t>
      </w:r>
      <w:r w:rsidRPr="00A706AF">
        <w:rPr>
          <w:szCs w:val="24"/>
          <w:rtl/>
        </w:rPr>
        <w:t>(חצי אחוז)</w:t>
      </w:r>
      <w:r w:rsidRPr="005E466C">
        <w:rPr>
          <w:rtl/>
        </w:rPr>
        <w:t xml:space="preserve"> אחד משווי השומה של הדירה. באשר לבית ברחוב [ת'] </w:t>
      </w:r>
      <w:r w:rsidRPr="00A706AF">
        <w:rPr>
          <w:szCs w:val="24"/>
          <w:rtl/>
        </w:rPr>
        <w:t>(הבית היקר יותר)</w:t>
      </w:r>
      <w:r w:rsidRPr="005E466C">
        <w:rPr>
          <w:rtl/>
        </w:rPr>
        <w:t xml:space="preserve">, בית הדין קובע כי על </w:t>
      </w:r>
      <w:proofErr w:type="spellStart"/>
      <w:r w:rsidRPr="005E466C">
        <w:rPr>
          <w:rtl/>
        </w:rPr>
        <w:t>האשה</w:t>
      </w:r>
      <w:proofErr w:type="spellEnd"/>
      <w:r w:rsidRPr="005E466C">
        <w:rPr>
          <w:rtl/>
        </w:rPr>
        <w:t xml:space="preserve"> לשלם לעו"ד [ר'] סך 0.33 אחוז </w:t>
      </w:r>
      <w:r w:rsidRPr="00A706AF">
        <w:rPr>
          <w:szCs w:val="24"/>
          <w:rtl/>
        </w:rPr>
        <w:t>(שליש אחוז)</w:t>
      </w:r>
      <w:r w:rsidRPr="005E466C">
        <w:rPr>
          <w:rtl/>
        </w:rPr>
        <w:t xml:space="preserve"> משווי שמאות הבית</w:t>
      </w:r>
      <w:r>
        <w:rPr>
          <w:rFonts w:hint="cs"/>
          <w:rtl/>
        </w:rPr>
        <w:t>."</w:t>
      </w:r>
    </w:p>
    <w:p w14:paraId="3825C5AA" w14:textId="7BD41352" w:rsidR="00914C5E" w:rsidRPr="00914C5E" w:rsidRDefault="00914C5E" w:rsidP="00914C5E">
      <w:pPr>
        <w:pStyle w:val="-0"/>
        <w:rPr>
          <w:rtl/>
        </w:rPr>
      </w:pPr>
      <w:r w:rsidRPr="00914C5E">
        <w:rPr>
          <w:rFonts w:hint="cs"/>
          <w:rtl/>
        </w:rPr>
        <w:t>הכרעה</w:t>
      </w:r>
    </w:p>
    <w:p w14:paraId="22B7A89B" w14:textId="49B00E85" w:rsidR="002F7A35" w:rsidRDefault="002F7A35" w:rsidP="00A0014F">
      <w:pPr>
        <w:pStyle w:val="af"/>
        <w:ind w:firstLine="0"/>
        <w:rPr>
          <w:rtl/>
        </w:rPr>
      </w:pPr>
      <w:bookmarkStart w:id="3" w:name="_Hlk235354986"/>
      <w:r w:rsidRPr="005E466C">
        <w:rPr>
          <w:rFonts w:hint="cs"/>
          <w:rtl/>
        </w:rPr>
        <w:t>העולה מן הדברים</w:t>
      </w:r>
      <w:r>
        <w:rPr>
          <w:rFonts w:hint="cs"/>
          <w:rtl/>
        </w:rPr>
        <w:t xml:space="preserve"> שהוזכרו לעיל</w:t>
      </w:r>
      <w:r w:rsidR="006656FB">
        <w:rPr>
          <w:rFonts w:hint="cs"/>
          <w:rtl/>
        </w:rPr>
        <w:t>,</w:t>
      </w:r>
      <w:r>
        <w:rPr>
          <w:rFonts w:hint="cs"/>
          <w:rtl/>
        </w:rPr>
        <w:t xml:space="preserve"> גם במקרה שלנו ברגע שה</w:t>
      </w:r>
      <w:r w:rsidR="00A0014F">
        <w:rPr>
          <w:rFonts w:hint="cs"/>
          <w:rtl/>
        </w:rPr>
        <w:t>צדדים מבקשים בהסכמה</w:t>
      </w:r>
      <w:r>
        <w:rPr>
          <w:rFonts w:hint="cs"/>
          <w:rtl/>
        </w:rPr>
        <w:t xml:space="preserve"> לבטל את הליך הכינוס</w:t>
      </w:r>
      <w:r w:rsidRPr="005E466C">
        <w:rPr>
          <w:b/>
          <w:bCs/>
          <w:rtl/>
        </w:rPr>
        <w:t xml:space="preserve"> </w:t>
      </w:r>
      <w:r>
        <w:rPr>
          <w:rFonts w:hint="cs"/>
          <w:rtl/>
        </w:rPr>
        <w:t>מהסיבות שנכתבו</w:t>
      </w:r>
      <w:r w:rsidR="00A0014F">
        <w:rPr>
          <w:rFonts w:hint="cs"/>
          <w:rtl/>
        </w:rPr>
        <w:t>,</w:t>
      </w:r>
      <w:r>
        <w:rPr>
          <w:rFonts w:hint="cs"/>
          <w:rtl/>
        </w:rPr>
        <w:t xml:space="preserve"> נוכח אי השגת קונה בסכום מקסימלי ונוכח המשבר בשוק הנדל"ן</w:t>
      </w:r>
      <w:r w:rsidR="00A0014F">
        <w:rPr>
          <w:rFonts w:hint="cs"/>
          <w:rtl/>
        </w:rPr>
        <w:t>,</w:t>
      </w:r>
      <w:r w:rsidR="006656FB">
        <w:rPr>
          <w:rFonts w:hint="cs"/>
          <w:rtl/>
        </w:rPr>
        <w:t xml:space="preserve"> </w:t>
      </w:r>
      <w:r w:rsidRPr="005E466C">
        <w:rPr>
          <w:rtl/>
        </w:rPr>
        <w:t>אזי על הצד שחדל מלשתף פעולה מוטלת החובה לפצות את הצד שעשה פעולה בכל ההוצאות שנגרמו לו, ובנידון דידן – חובה על ה</w:t>
      </w:r>
      <w:r>
        <w:rPr>
          <w:rFonts w:hint="cs"/>
          <w:rtl/>
        </w:rPr>
        <w:t>מבקשים</w:t>
      </w:r>
      <w:r w:rsidRPr="005E466C">
        <w:rPr>
          <w:rtl/>
        </w:rPr>
        <w:t xml:space="preserve"> לשלם </w:t>
      </w:r>
      <w:r>
        <w:rPr>
          <w:rFonts w:hint="cs"/>
          <w:rtl/>
        </w:rPr>
        <w:t xml:space="preserve">לכונסים שמונו ע"י בית הדין </w:t>
      </w:r>
      <w:r w:rsidRPr="005E466C">
        <w:rPr>
          <w:rtl/>
        </w:rPr>
        <w:t>– את ההוצאות שהיו לה</w:t>
      </w:r>
      <w:r>
        <w:rPr>
          <w:rFonts w:hint="cs"/>
          <w:rtl/>
        </w:rPr>
        <w:t>ם</w:t>
      </w:r>
      <w:r w:rsidRPr="005E466C">
        <w:rPr>
          <w:rtl/>
        </w:rPr>
        <w:t>, וכן שעות עבודה, פעולות ש</w:t>
      </w:r>
      <w:r>
        <w:rPr>
          <w:rFonts w:hint="cs"/>
          <w:rtl/>
        </w:rPr>
        <w:t xml:space="preserve">נעשו </w:t>
      </w:r>
      <w:r w:rsidRPr="005E466C">
        <w:rPr>
          <w:rtl/>
        </w:rPr>
        <w:t>לשם מכירת הדירה, והוצאות נלוות, ככל שהיו,</w:t>
      </w:r>
      <w:r>
        <w:rPr>
          <w:rFonts w:hint="cs"/>
          <w:rtl/>
        </w:rPr>
        <w:t xml:space="preserve"> </w:t>
      </w:r>
      <w:r w:rsidRPr="005E466C">
        <w:rPr>
          <w:rtl/>
        </w:rPr>
        <w:t>כאמור, בין מדין שכירות פועלים ובין מדין גרמי הקשור לכך</w:t>
      </w:r>
      <w:r w:rsidR="00A0014F">
        <w:rPr>
          <w:rFonts w:hint="cs"/>
          <w:rtl/>
        </w:rPr>
        <w:t xml:space="preserve">. </w:t>
      </w:r>
      <w:r w:rsidRPr="005E466C">
        <w:rPr>
          <w:rtl/>
        </w:rPr>
        <w:t>בנסיבות דידן קיימת הסכמה לשלם עבור שעת עבודה ריאלית,</w:t>
      </w:r>
      <w:r>
        <w:rPr>
          <w:rFonts w:hint="cs"/>
          <w:rtl/>
        </w:rPr>
        <w:t xml:space="preserve"> אולם לבית הדין קשה מאוד </w:t>
      </w:r>
      <w:proofErr w:type="spellStart"/>
      <w:r>
        <w:rPr>
          <w:rFonts w:hint="cs"/>
          <w:rtl/>
        </w:rPr>
        <w:t>לאמוד</w:t>
      </w:r>
      <w:proofErr w:type="spellEnd"/>
      <w:r>
        <w:rPr>
          <w:rFonts w:hint="cs"/>
          <w:rtl/>
        </w:rPr>
        <w:t xml:space="preserve"> את שעות העבודה הריאליות שהושקעו בכינוס זה ובמיוחד נוכח העובדה שנעשו פעולות רבות למען המכירה.</w:t>
      </w:r>
    </w:p>
    <w:p w14:paraId="7DFCED8D" w14:textId="353174D3" w:rsidR="002F7A35" w:rsidRPr="00A0014F" w:rsidRDefault="00A0014F" w:rsidP="00A0014F">
      <w:pPr>
        <w:pStyle w:val="-0"/>
        <w:rPr>
          <w:rtl/>
        </w:rPr>
      </w:pPr>
      <w:r>
        <w:rPr>
          <w:rFonts w:hint="cs"/>
          <w:rtl/>
        </w:rPr>
        <w:t>פסק דין</w:t>
      </w:r>
    </w:p>
    <w:bookmarkEnd w:id="3"/>
    <w:p w14:paraId="6B322957" w14:textId="77777777" w:rsidR="002F7A35" w:rsidRDefault="002F7A35" w:rsidP="00533D2E">
      <w:pPr>
        <w:pStyle w:val="ae"/>
        <w:rPr>
          <w:rtl/>
        </w:rPr>
      </w:pPr>
      <w:r w:rsidRPr="00E86E82">
        <w:rPr>
          <w:rFonts w:hint="cs"/>
          <w:rtl/>
        </w:rPr>
        <w:t xml:space="preserve">לאחר עיון </w:t>
      </w:r>
      <w:r>
        <w:rPr>
          <w:rFonts w:hint="cs"/>
          <w:rtl/>
        </w:rPr>
        <w:t xml:space="preserve">מעמיק </w:t>
      </w:r>
      <w:r w:rsidRPr="00E86E82">
        <w:rPr>
          <w:rFonts w:hint="cs"/>
          <w:rtl/>
        </w:rPr>
        <w:t xml:space="preserve">בכתבי הצדדים סבור בית הדין </w:t>
      </w:r>
      <w:r>
        <w:rPr>
          <w:rFonts w:hint="cs"/>
          <w:rtl/>
        </w:rPr>
        <w:t xml:space="preserve">כי  הצדדים </w:t>
      </w:r>
      <w:r w:rsidRPr="00E86E82">
        <w:rPr>
          <w:rFonts w:hint="cs"/>
          <w:rtl/>
        </w:rPr>
        <w:t>זכאים לחזור בהם מהליך המכירה.</w:t>
      </w:r>
    </w:p>
    <w:p w14:paraId="7E68D6D4" w14:textId="455B8BEF" w:rsidR="002F7A35" w:rsidRDefault="002F7A35" w:rsidP="00533D2E">
      <w:pPr>
        <w:pStyle w:val="ae"/>
        <w:rPr>
          <w:rtl/>
        </w:rPr>
      </w:pPr>
      <w:r>
        <w:rPr>
          <w:rFonts w:hint="cs"/>
          <w:rtl/>
        </w:rPr>
        <w:t>משכך לא מגיע לכונסים שכר תמורת עבודה שלא בוצעה, אמנם מגיע להם שכר על הפעולות שבוצעו בהתאם להוראת בית הדין.</w:t>
      </w:r>
    </w:p>
    <w:p w14:paraId="17067655" w14:textId="77777777" w:rsidR="002F7A35" w:rsidRPr="00E86E82" w:rsidRDefault="002F7A35" w:rsidP="00531EBD">
      <w:pPr>
        <w:pStyle w:val="af"/>
        <w:rPr>
          <w:rFonts w:ascii="FrankRuehl" w:hAnsi="FrankRuehl"/>
          <w:sz w:val="28"/>
          <w:rtl/>
        </w:rPr>
      </w:pPr>
      <w:r>
        <w:rPr>
          <w:rFonts w:ascii="FrankRuehl" w:hAnsi="FrankRuehl" w:hint="cs"/>
          <w:sz w:val="28"/>
          <w:rtl/>
        </w:rPr>
        <w:t xml:space="preserve">הסיבות </w:t>
      </w:r>
      <w:r w:rsidRPr="00531EBD">
        <w:rPr>
          <w:rFonts w:hint="cs"/>
          <w:i/>
          <w:color w:val="000000" w:themeColor="text1"/>
          <w:rtl/>
        </w:rPr>
        <w:t>לחזרה</w:t>
      </w:r>
      <w:r>
        <w:rPr>
          <w:rFonts w:ascii="FrankRuehl" w:hAnsi="FrankRuehl" w:hint="cs"/>
          <w:sz w:val="28"/>
          <w:rtl/>
        </w:rPr>
        <w:t xml:space="preserve"> הינן:</w:t>
      </w:r>
    </w:p>
    <w:p w14:paraId="204DA685" w14:textId="44A613FA" w:rsidR="002F7A35" w:rsidRPr="00DC6F9A" w:rsidRDefault="002F7A35" w:rsidP="00DC6F9A">
      <w:pPr>
        <w:pStyle w:val="a9"/>
        <w:numPr>
          <w:ilvl w:val="0"/>
          <w:numId w:val="35"/>
        </w:numPr>
        <w:spacing w:after="200"/>
        <w:rPr>
          <w:rFonts w:ascii="FrankRuehl" w:hAnsi="FrankRuehl"/>
          <w:sz w:val="28"/>
        </w:rPr>
      </w:pPr>
      <w:r w:rsidRPr="00DC6F9A">
        <w:rPr>
          <w:rFonts w:ascii="FrankRuehl" w:hAnsi="FrankRuehl" w:hint="cs"/>
          <w:sz w:val="28"/>
          <w:rtl/>
        </w:rPr>
        <w:lastRenderedPageBreak/>
        <w:t>נוכח הפער המשמעותי בין השמאות למחיר המכירה, כאשר סכום המכירה הינו פחות בהרבה ממחיר השמאות.</w:t>
      </w:r>
      <w:r w:rsidR="00DC6F9A" w:rsidRPr="00DC6F9A">
        <w:rPr>
          <w:rFonts w:ascii="FrankRuehl" w:hAnsi="FrankRuehl" w:hint="cs"/>
          <w:sz w:val="28"/>
          <w:rtl/>
        </w:rPr>
        <w:t xml:space="preserve"> </w:t>
      </w:r>
      <w:r w:rsidRPr="00DC6F9A">
        <w:rPr>
          <w:rFonts w:ascii="FrankRuehl" w:hAnsi="FrankRuehl" w:hint="cs"/>
          <w:sz w:val="28"/>
          <w:rtl/>
        </w:rPr>
        <w:t>דבר זה מקנה להם זכות לחזרה, הם אינם חייבים למכור בכל מחיר ולהפסיד מכיסם.</w:t>
      </w:r>
    </w:p>
    <w:p w14:paraId="5DFA12DB" w14:textId="55BE8E50" w:rsidR="002F7A35" w:rsidRPr="00DC6F9A" w:rsidRDefault="002F7A35" w:rsidP="00DC6F9A">
      <w:pPr>
        <w:pStyle w:val="a9"/>
        <w:numPr>
          <w:ilvl w:val="0"/>
          <w:numId w:val="35"/>
        </w:numPr>
        <w:spacing w:after="200"/>
        <w:rPr>
          <w:rFonts w:ascii="FrankRuehl" w:hAnsi="FrankRuehl"/>
          <w:sz w:val="28"/>
        </w:rPr>
      </w:pPr>
      <w:r w:rsidRPr="00DC6F9A">
        <w:rPr>
          <w:rFonts w:ascii="FrankRuehl" w:hAnsi="FrankRuehl" w:hint="cs"/>
          <w:sz w:val="28"/>
          <w:rtl/>
        </w:rPr>
        <w:t>הצדדים סבורים כי לעת הזו</w:t>
      </w:r>
      <w:r w:rsidR="00914C5E">
        <w:rPr>
          <w:rFonts w:ascii="FrankRuehl" w:hAnsi="FrankRuehl" w:hint="cs"/>
          <w:sz w:val="28"/>
          <w:rtl/>
        </w:rPr>
        <w:t>,</w:t>
      </w:r>
      <w:r w:rsidRPr="00DC6F9A">
        <w:rPr>
          <w:rFonts w:ascii="FrankRuehl" w:hAnsi="FrankRuehl" w:hint="cs"/>
          <w:sz w:val="28"/>
          <w:rtl/>
        </w:rPr>
        <w:t xml:space="preserve"> בו ידוע לכל כי יש משבר זמני בענף הנדל"ן</w:t>
      </w:r>
      <w:r w:rsidR="00914C5E">
        <w:rPr>
          <w:rFonts w:ascii="FrankRuehl" w:hAnsi="FrankRuehl" w:hint="cs"/>
          <w:sz w:val="28"/>
          <w:rtl/>
        </w:rPr>
        <w:t>,</w:t>
      </w:r>
      <w:r w:rsidRPr="00DC6F9A">
        <w:rPr>
          <w:rFonts w:ascii="FrankRuehl" w:hAnsi="FrankRuehl" w:hint="cs"/>
          <w:sz w:val="28"/>
          <w:rtl/>
        </w:rPr>
        <w:t xml:space="preserve"> לא ניתן למקסם את המחיר. ומשכך מבקשים הצדדים לחזור מן המכירה. ולעת הזו ניתן לקיים חלופה של השכרת הנכס וחלוקת דמי השכירות.</w:t>
      </w:r>
    </w:p>
    <w:p w14:paraId="5DB253E4" w14:textId="01FBD719" w:rsidR="002F7A35" w:rsidRPr="00DC6F9A" w:rsidRDefault="002F7A35" w:rsidP="00DC6F9A">
      <w:pPr>
        <w:pStyle w:val="a9"/>
        <w:numPr>
          <w:ilvl w:val="0"/>
          <w:numId w:val="35"/>
        </w:numPr>
        <w:spacing w:after="200"/>
        <w:rPr>
          <w:rFonts w:ascii="FrankRuehl" w:hAnsi="FrankRuehl"/>
          <w:sz w:val="28"/>
        </w:rPr>
      </w:pPr>
      <w:r w:rsidRPr="00DC6F9A">
        <w:rPr>
          <w:rFonts w:ascii="FrankRuehl" w:hAnsi="FrankRuehl" w:hint="cs"/>
          <w:sz w:val="28"/>
          <w:rtl/>
        </w:rPr>
        <w:t xml:space="preserve">יש הסכמה מלאה </w:t>
      </w:r>
      <w:r w:rsidR="00A0014F" w:rsidRPr="00DC6F9A">
        <w:rPr>
          <w:rFonts w:ascii="FrankRuehl" w:hAnsi="FrankRuehl" w:hint="cs"/>
          <w:sz w:val="28"/>
          <w:rtl/>
        </w:rPr>
        <w:t xml:space="preserve">של </w:t>
      </w:r>
      <w:r w:rsidRPr="00DC6F9A">
        <w:rPr>
          <w:rFonts w:ascii="FrankRuehl" w:hAnsi="FrankRuehl" w:hint="cs"/>
          <w:sz w:val="28"/>
          <w:rtl/>
        </w:rPr>
        <w:t>בעלי הנכס למניעת המכירה לעת הזו.</w:t>
      </w:r>
    </w:p>
    <w:p w14:paraId="1D494718" w14:textId="77777777" w:rsidR="002F7A35" w:rsidRPr="00DC6F9A" w:rsidRDefault="002F7A35" w:rsidP="00DC6F9A">
      <w:pPr>
        <w:pStyle w:val="a9"/>
        <w:numPr>
          <w:ilvl w:val="0"/>
          <w:numId w:val="35"/>
        </w:numPr>
        <w:spacing w:after="200"/>
        <w:rPr>
          <w:rFonts w:ascii="FrankRuehl" w:hAnsi="FrankRuehl"/>
          <w:sz w:val="28"/>
        </w:rPr>
      </w:pPr>
      <w:r w:rsidRPr="00DC6F9A">
        <w:rPr>
          <w:rFonts w:ascii="FrankRuehl" w:hAnsi="FrankRuehl" w:hint="cs"/>
          <w:sz w:val="28"/>
          <w:rtl/>
        </w:rPr>
        <w:t>המכירה לא הושלמה ותלויה באישור בית הדין.</w:t>
      </w:r>
    </w:p>
    <w:p w14:paraId="1F392176" w14:textId="77777777" w:rsidR="002F7A35" w:rsidRPr="00DC6F9A" w:rsidRDefault="002F7A35" w:rsidP="00DC6F9A">
      <w:pPr>
        <w:pStyle w:val="a9"/>
        <w:numPr>
          <w:ilvl w:val="0"/>
          <w:numId w:val="35"/>
        </w:numPr>
        <w:spacing w:after="200"/>
        <w:rPr>
          <w:rFonts w:ascii="FrankRuehl" w:hAnsi="FrankRuehl"/>
          <w:sz w:val="28"/>
        </w:rPr>
      </w:pPr>
      <w:r w:rsidRPr="00DC6F9A">
        <w:rPr>
          <w:rFonts w:ascii="FrankRuehl" w:hAnsi="FrankRuehl" w:hint="cs"/>
          <w:sz w:val="28"/>
          <w:rtl/>
        </w:rPr>
        <w:t>אמנם נוכח העובדה כי כונסי הנכסים פעלו ואף הצליחו למצוא קונה לנכס, שהיא השוכרת של הדירה, וודאי שאין לקפחם ומגיע להם על כך שכר.</w:t>
      </w:r>
    </w:p>
    <w:p w14:paraId="6DC5791E" w14:textId="03502E28" w:rsidR="002F7A35" w:rsidRPr="00DC6F9A" w:rsidRDefault="002F7A35" w:rsidP="00DC6F9A">
      <w:pPr>
        <w:pStyle w:val="a9"/>
        <w:numPr>
          <w:ilvl w:val="0"/>
          <w:numId w:val="35"/>
        </w:numPr>
        <w:spacing w:after="200"/>
        <w:rPr>
          <w:rFonts w:ascii="FrankRuehl" w:hAnsi="FrankRuehl"/>
          <w:sz w:val="28"/>
        </w:rPr>
      </w:pPr>
      <w:r w:rsidRPr="00DC6F9A">
        <w:rPr>
          <w:rFonts w:ascii="FrankRuehl" w:hAnsi="FrankRuehl" w:hint="cs"/>
          <w:sz w:val="28"/>
          <w:rtl/>
        </w:rPr>
        <w:t>תביעת הכונסים לשכר של 4% +מע"מ מסכום של 5.7 מ</w:t>
      </w:r>
      <w:r w:rsidR="00DC6F9A" w:rsidRPr="00DC6F9A">
        <w:rPr>
          <w:rFonts w:ascii="FrankRuehl" w:hAnsi="FrankRuehl" w:hint="cs"/>
          <w:sz w:val="28"/>
          <w:rtl/>
        </w:rPr>
        <w:t>י</w:t>
      </w:r>
      <w:r w:rsidRPr="00DC6F9A">
        <w:rPr>
          <w:rFonts w:ascii="FrankRuehl" w:hAnsi="FrankRuehl" w:hint="cs"/>
          <w:sz w:val="28"/>
          <w:rtl/>
        </w:rPr>
        <w:t xml:space="preserve">ליון הינה תביעה מוגזמת בכל קנה מידה. לדברי הכונסים על בעלי הנכס לשלם סכום מופרך של </w:t>
      </w:r>
      <w:r w:rsidR="00A0014F" w:rsidRPr="00DC6F9A">
        <w:rPr>
          <w:rFonts w:ascii="FrankRuehl" w:hAnsi="FrankRuehl" w:hint="cs"/>
          <w:sz w:val="28"/>
          <w:rtl/>
        </w:rPr>
        <w:t xml:space="preserve">269,000 </w:t>
      </w:r>
      <w:r w:rsidR="00914C5E">
        <w:rPr>
          <w:rFonts w:ascii="FrankRuehl" w:hAnsi="FrankRuehl" w:hint="cs"/>
          <w:sz w:val="28"/>
          <w:rtl/>
        </w:rPr>
        <w:t>ש"ח</w:t>
      </w:r>
      <w:r w:rsidR="00A0014F" w:rsidRPr="00DC6F9A">
        <w:rPr>
          <w:rFonts w:ascii="FrankRuehl" w:hAnsi="FrankRuehl" w:hint="cs"/>
          <w:sz w:val="28"/>
          <w:rtl/>
        </w:rPr>
        <w:t xml:space="preserve"> </w:t>
      </w:r>
      <w:r w:rsidRPr="00DC6F9A">
        <w:rPr>
          <w:rFonts w:ascii="FrankRuehl" w:hAnsi="FrankRuehl" w:hint="cs"/>
          <w:sz w:val="28"/>
          <w:rtl/>
        </w:rPr>
        <w:t>על עסק</w:t>
      </w:r>
      <w:r w:rsidR="00A0014F" w:rsidRPr="00DC6F9A">
        <w:rPr>
          <w:rFonts w:ascii="FrankRuehl" w:hAnsi="FrankRuehl" w:hint="cs"/>
          <w:sz w:val="28"/>
          <w:rtl/>
        </w:rPr>
        <w:t xml:space="preserve">ת מכר במחיר הפסד </w:t>
      </w:r>
      <w:r w:rsidRPr="00DC6F9A">
        <w:rPr>
          <w:rFonts w:ascii="FrankRuehl" w:hAnsi="FrankRuehl" w:hint="cs"/>
          <w:sz w:val="28"/>
          <w:rtl/>
        </w:rPr>
        <w:t xml:space="preserve">שבעלי הנכס אינם רוצים </w:t>
      </w:r>
      <w:r w:rsidR="00A0014F" w:rsidRPr="00DC6F9A">
        <w:rPr>
          <w:rFonts w:ascii="FrankRuehl" w:hAnsi="FrankRuehl" w:hint="cs"/>
          <w:sz w:val="28"/>
          <w:rtl/>
        </w:rPr>
        <w:t xml:space="preserve">בה, </w:t>
      </w:r>
      <w:r w:rsidRPr="00DC6F9A">
        <w:rPr>
          <w:rFonts w:ascii="FrankRuehl" w:hAnsi="FrankRuehl" w:hint="cs"/>
          <w:sz w:val="28"/>
          <w:rtl/>
        </w:rPr>
        <w:t>וזכותם להתנגד.</w:t>
      </w:r>
    </w:p>
    <w:p w14:paraId="4BC45827" w14:textId="77777777" w:rsidR="002F7A35" w:rsidRPr="00DC6F9A" w:rsidRDefault="002F7A35" w:rsidP="00DC6F9A">
      <w:pPr>
        <w:pStyle w:val="a9"/>
        <w:numPr>
          <w:ilvl w:val="0"/>
          <w:numId w:val="35"/>
        </w:numPr>
        <w:spacing w:after="200"/>
        <w:rPr>
          <w:rFonts w:ascii="FrankRuehl" w:hAnsi="FrankRuehl"/>
          <w:sz w:val="28"/>
        </w:rPr>
      </w:pPr>
      <w:r w:rsidRPr="00DC6F9A">
        <w:rPr>
          <w:rFonts w:ascii="FrankRuehl" w:hAnsi="FrankRuehl"/>
          <w:sz w:val="28"/>
          <w:rtl/>
        </w:rPr>
        <w:t>פסקי דין רבים של בית המשפט קבעו כלל ברור: התקנות הן תקרת מקסימום ולא זכות אוטומטית.</w:t>
      </w:r>
    </w:p>
    <w:p w14:paraId="519E5DD0" w14:textId="05A7BC6B" w:rsidR="002F7A35" w:rsidRPr="00DC6F9A" w:rsidRDefault="002F7A35" w:rsidP="00DC6F9A">
      <w:pPr>
        <w:pStyle w:val="a9"/>
        <w:rPr>
          <w:rFonts w:ascii="FrankRuehl" w:hAnsi="FrankRuehl"/>
          <w:sz w:val="28"/>
          <w:rtl/>
        </w:rPr>
      </w:pPr>
      <w:r w:rsidRPr="00DC6F9A">
        <w:rPr>
          <w:rFonts w:ascii="FrankRuehl" w:hAnsi="FrankRuehl"/>
          <w:sz w:val="28"/>
          <w:rtl/>
        </w:rPr>
        <w:t xml:space="preserve">השכר המירבי הקבוע בחוק הוא 4%+מע"מ. יצוין לסעיף 7 ד' לחוק בתי דין דתיים </w:t>
      </w:r>
      <w:r w:rsidRPr="00A706AF">
        <w:rPr>
          <w:rFonts w:ascii="FrankRuehl" w:hAnsi="FrankRuehl"/>
          <w:sz w:val="28"/>
          <w:szCs w:val="24"/>
          <w:rtl/>
        </w:rPr>
        <w:t>(כפיית ציות ודרכי דיון)</w:t>
      </w:r>
      <w:r w:rsidRPr="00DC6F9A">
        <w:rPr>
          <w:rFonts w:ascii="FrankRuehl" w:hAnsi="FrankRuehl"/>
          <w:sz w:val="28"/>
          <w:rtl/>
        </w:rPr>
        <w:t xml:space="preserve">, התשט"ז-1957, הנזכר לעיל המפנה אל הכללים החלים לעניין תיקי משפחה, והשיעור הנ"ל הוא המירבי, כמפורט בתקנה 258 </w:t>
      </w:r>
      <w:proofErr w:type="spellStart"/>
      <w:r w:rsidRPr="00DC6F9A">
        <w:rPr>
          <w:rFonts w:ascii="FrankRuehl" w:hAnsi="FrankRuehl"/>
          <w:sz w:val="28"/>
          <w:rtl/>
        </w:rPr>
        <w:t>טז</w:t>
      </w:r>
      <w:proofErr w:type="spellEnd"/>
      <w:r w:rsidRPr="00DC6F9A">
        <w:rPr>
          <w:rFonts w:ascii="FrankRuehl" w:hAnsi="FrankRuehl"/>
          <w:sz w:val="28"/>
          <w:rtl/>
        </w:rPr>
        <w:t xml:space="preserve"> לתקנות סדר הדין האזרחי תשמ"ד – 1984 שבה נקבע </w:t>
      </w:r>
      <w:r w:rsidR="00A0014F" w:rsidRPr="00DC6F9A">
        <w:rPr>
          <w:rFonts w:ascii="FrankRuehl" w:hAnsi="FrankRuehl"/>
          <w:sz w:val="28"/>
          <w:rtl/>
        </w:rPr>
        <w:t>–</w:t>
      </w:r>
      <w:r w:rsidRPr="00DC6F9A">
        <w:rPr>
          <w:rFonts w:ascii="FrankRuehl" w:hAnsi="FrankRuehl"/>
          <w:sz w:val="28"/>
          <w:rtl/>
        </w:rPr>
        <w:t xml:space="preserve"> </w:t>
      </w:r>
      <w:r w:rsidR="00A0014F" w:rsidRPr="00DC6F9A">
        <w:rPr>
          <w:rFonts w:ascii="FrankRuehl" w:hAnsi="FrankRuehl" w:hint="cs"/>
          <w:sz w:val="28"/>
          <w:rtl/>
        </w:rPr>
        <w:t>"</w:t>
      </w:r>
      <w:r w:rsidRPr="00DC6F9A">
        <w:rPr>
          <w:rFonts w:ascii="FrankRuehl" w:hAnsi="FrankRuehl"/>
          <w:sz w:val="28"/>
          <w:rtl/>
        </w:rPr>
        <w:t>בית המשפט יקבע את שכרו של כונס נכסים; השכר שי</w:t>
      </w:r>
      <w:r w:rsidR="00A0014F" w:rsidRPr="00DC6F9A">
        <w:rPr>
          <w:rFonts w:ascii="FrankRuehl" w:hAnsi="FrankRuehl" w:hint="cs"/>
          <w:sz w:val="28"/>
          <w:rtl/>
        </w:rPr>
        <w:t>י</w:t>
      </w:r>
      <w:r w:rsidRPr="00DC6F9A">
        <w:rPr>
          <w:rFonts w:ascii="FrankRuehl" w:hAnsi="FrankRuehl"/>
          <w:sz w:val="28"/>
          <w:rtl/>
        </w:rPr>
        <w:t>קבע לא</w:t>
      </w:r>
      <w:r w:rsidRPr="00DC6F9A">
        <w:rPr>
          <w:rFonts w:ascii="FrankRuehl" w:hAnsi="FrankRuehl" w:hint="cs"/>
          <w:sz w:val="28"/>
          <w:rtl/>
        </w:rPr>
        <w:t xml:space="preserve"> </w:t>
      </w:r>
      <w:r w:rsidRPr="00DC6F9A">
        <w:rPr>
          <w:rFonts w:ascii="FrankRuehl" w:hAnsi="FrankRuehl"/>
          <w:sz w:val="28"/>
          <w:rtl/>
        </w:rPr>
        <w:t>יעלה על 4 אחוזים מתקבולי מימוש בדרך של מכירה</w:t>
      </w:r>
      <w:r w:rsidRPr="00DC6F9A">
        <w:rPr>
          <w:rFonts w:ascii="FrankRuehl" w:hAnsi="FrankRuehl"/>
          <w:sz w:val="28"/>
        </w:rPr>
        <w:t>".</w:t>
      </w:r>
      <w:r w:rsidRPr="00DC6F9A">
        <w:rPr>
          <w:rFonts w:ascii="FrankRuehl" w:hAnsi="FrankRuehl"/>
          <w:sz w:val="28"/>
          <w:rtl/>
        </w:rPr>
        <w:t xml:space="preserve">בית המשפט </w:t>
      </w:r>
      <w:r w:rsidRPr="00DC6F9A">
        <w:rPr>
          <w:rFonts w:ascii="FrankRuehl" w:hAnsi="FrankRuehl" w:hint="cs"/>
          <w:sz w:val="28"/>
          <w:rtl/>
        </w:rPr>
        <w:t>/ בית הדין -</w:t>
      </w:r>
      <w:r w:rsidRPr="00DC6F9A">
        <w:rPr>
          <w:rFonts w:ascii="FrankRuehl" w:hAnsi="FrankRuehl"/>
          <w:sz w:val="28"/>
          <w:rtl/>
        </w:rPr>
        <w:t>בוחן בכל מקרה ומקרה את הפרמטרים הבאים כדי להחליט אם להפחית מהשכר הנקוב בתקנות:</w:t>
      </w:r>
    </w:p>
    <w:p w14:paraId="4381C842" w14:textId="77777777" w:rsidR="002F7A35" w:rsidRPr="00DC6F9A" w:rsidRDefault="002F7A35" w:rsidP="00DC6F9A">
      <w:pPr>
        <w:pStyle w:val="a9"/>
        <w:rPr>
          <w:rFonts w:ascii="FrankRuehl" w:hAnsi="FrankRuehl"/>
          <w:sz w:val="28"/>
          <w:rtl/>
        </w:rPr>
      </w:pPr>
      <w:r w:rsidRPr="00DC6F9A">
        <w:rPr>
          <w:rFonts w:ascii="FrankRuehl" w:hAnsi="FrankRuehl"/>
          <w:sz w:val="28"/>
          <w:rtl/>
        </w:rPr>
        <w:t xml:space="preserve">המאמץ שהושקע: האם המכירה הייתה "קלה" </w:t>
      </w:r>
      <w:r w:rsidRPr="00A706AF">
        <w:rPr>
          <w:rFonts w:ascii="FrankRuehl" w:hAnsi="FrankRuehl"/>
          <w:sz w:val="28"/>
          <w:szCs w:val="24"/>
          <w:rtl/>
        </w:rPr>
        <w:t>(למשל, קונה שהגיע מיד ללא פרסום מורכב)</w:t>
      </w:r>
      <w:r w:rsidRPr="00DC6F9A">
        <w:rPr>
          <w:rFonts w:ascii="FrankRuehl" w:hAnsi="FrankRuehl"/>
          <w:sz w:val="28"/>
          <w:rtl/>
        </w:rPr>
        <w:t xml:space="preserve"> או שנדרשו פעולות משפטיות סבוכות וממושכות.</w:t>
      </w:r>
    </w:p>
    <w:p w14:paraId="64EC61B1" w14:textId="77777777" w:rsidR="002F7A35" w:rsidRPr="00DC6F9A" w:rsidRDefault="002F7A35" w:rsidP="00DC6F9A">
      <w:pPr>
        <w:pStyle w:val="a9"/>
        <w:rPr>
          <w:rFonts w:ascii="FrankRuehl" w:hAnsi="FrankRuehl"/>
          <w:sz w:val="28"/>
          <w:rtl/>
        </w:rPr>
      </w:pPr>
      <w:r w:rsidRPr="00DC6F9A">
        <w:rPr>
          <w:rFonts w:ascii="FrankRuehl" w:hAnsi="FrankRuehl"/>
          <w:sz w:val="28"/>
          <w:rtl/>
        </w:rPr>
        <w:t>התוצאה שהושגה: האם כונס הנכסים השיג מחיר מיטבי עבור הנכס.</w:t>
      </w:r>
    </w:p>
    <w:p w14:paraId="5B6CBBB6" w14:textId="77777777" w:rsidR="002F7A35" w:rsidRPr="00DC6F9A" w:rsidRDefault="002F7A35" w:rsidP="00DC6F9A">
      <w:pPr>
        <w:pStyle w:val="a9"/>
        <w:rPr>
          <w:rFonts w:ascii="FrankRuehl" w:hAnsi="FrankRuehl"/>
          <w:sz w:val="28"/>
          <w:rtl/>
        </w:rPr>
      </w:pPr>
      <w:r w:rsidRPr="00DC6F9A">
        <w:rPr>
          <w:rFonts w:ascii="FrankRuehl" w:hAnsi="FrankRuehl"/>
          <w:sz w:val="28"/>
          <w:rtl/>
        </w:rPr>
        <w:t>התנהלות כונס הנכסים: האם הוא פעל ביעילות, במהירות ובתום לב, או שגרם לעיכובים מיותרים.</w:t>
      </w:r>
    </w:p>
    <w:p w14:paraId="7078FD48" w14:textId="1B7DAF7A" w:rsidR="00DC6F9A" w:rsidRPr="00DC6F9A" w:rsidRDefault="002F7A35" w:rsidP="003E7B8A">
      <w:pPr>
        <w:pStyle w:val="a9"/>
        <w:rPr>
          <w:rFonts w:ascii="FrankRuehl" w:hAnsi="FrankRuehl"/>
          <w:sz w:val="28"/>
        </w:rPr>
      </w:pPr>
      <w:r w:rsidRPr="00DC6F9A">
        <w:rPr>
          <w:rFonts w:ascii="FrankRuehl" w:hAnsi="FrankRuehl"/>
          <w:sz w:val="28"/>
          <w:rtl/>
        </w:rPr>
        <w:t xml:space="preserve">וראה האמור </w:t>
      </w:r>
      <w:proofErr w:type="spellStart"/>
      <w:r w:rsidRPr="00DC6F9A">
        <w:rPr>
          <w:rFonts w:ascii="FrankRuehl" w:hAnsi="FrankRuehl"/>
          <w:sz w:val="28"/>
          <w:rtl/>
        </w:rPr>
        <w:t>בתא"מ</w:t>
      </w:r>
      <w:proofErr w:type="spellEnd"/>
      <w:r w:rsidRPr="00DC6F9A">
        <w:rPr>
          <w:rFonts w:ascii="FrankRuehl" w:hAnsi="FrankRuehl"/>
          <w:sz w:val="28"/>
          <w:rtl/>
        </w:rPr>
        <w:t xml:space="preserve"> 25269־12־09 </w:t>
      </w:r>
      <w:r w:rsidRPr="00A706AF">
        <w:rPr>
          <w:rFonts w:ascii="FrankRuehl" w:hAnsi="FrankRuehl"/>
          <w:sz w:val="28"/>
          <w:szCs w:val="24"/>
          <w:rtl/>
        </w:rPr>
        <w:t>(בית משפט השלום ת"א יפו)</w:t>
      </w:r>
      <w:r w:rsidRPr="00DC6F9A">
        <w:rPr>
          <w:rFonts w:ascii="FrankRuehl" w:hAnsi="FrankRuehl"/>
          <w:sz w:val="28"/>
          <w:rtl/>
        </w:rPr>
        <w:t xml:space="preserve"> אודות הליך כינוס שהופסק:</w:t>
      </w:r>
    </w:p>
    <w:p w14:paraId="5ECAAA72" w14:textId="06EA8FFE" w:rsidR="00DC6F9A" w:rsidRPr="00DC6F9A" w:rsidRDefault="00DC6F9A" w:rsidP="00533D2E">
      <w:pPr>
        <w:pStyle w:val="aa"/>
        <w:ind w:left="1440"/>
        <w:rPr>
          <w:rtl/>
        </w:rPr>
      </w:pPr>
      <w:r w:rsidRPr="00DC6F9A">
        <w:rPr>
          <w:rFonts w:hint="cs"/>
          <w:rtl/>
        </w:rPr>
        <w:t>"</w:t>
      </w:r>
      <w:r w:rsidR="002F7A35" w:rsidRPr="00DC6F9A">
        <w:rPr>
          <w:rtl/>
        </w:rPr>
        <w:t xml:space="preserve">בנסיבות אלה, הלכה פסוקה היא כי בעקבות הבאת ההסכם לסיומו בדרך האמורה על ידי התובעת, לנתבע מגיע שכר טרחה אך ורק עבור הטיפול שניתן עד למועד הפסקת ההתקשרות </w:t>
      </w:r>
      <w:r w:rsidR="002F7A35" w:rsidRPr="00A706AF">
        <w:rPr>
          <w:szCs w:val="24"/>
          <w:rtl/>
        </w:rPr>
        <w:t xml:space="preserve">(ראה לעניין זה </w:t>
      </w:r>
      <w:hyperlink r:id="rId8" w:history="1">
        <w:r w:rsidR="002F7A35" w:rsidRPr="00A706AF">
          <w:rPr>
            <w:szCs w:val="24"/>
            <w:rtl/>
          </w:rPr>
          <w:t xml:space="preserve">ע"א 136/92 ביניש־ עדיאל־ עורכי דין נ' דניה </w:t>
        </w:r>
        <w:proofErr w:type="spellStart"/>
        <w:r w:rsidR="002F7A35" w:rsidRPr="00A706AF">
          <w:rPr>
            <w:szCs w:val="24"/>
            <w:rtl/>
          </w:rPr>
          <w:t>סיבוס</w:t>
        </w:r>
        <w:proofErr w:type="spellEnd"/>
        <w:r w:rsidR="002F7A35" w:rsidRPr="00A706AF">
          <w:rPr>
            <w:szCs w:val="24"/>
            <w:rtl/>
          </w:rPr>
          <w:t xml:space="preserve"> חברה לביטוח בע"מ, פ"ד מד</w:t>
        </w:r>
      </w:hyperlink>
      <w:r w:rsidR="002F7A35" w:rsidRPr="00A706AF">
        <w:rPr>
          <w:szCs w:val="24"/>
          <w:rtl/>
        </w:rPr>
        <w:t xml:space="preserve"> (5)</w:t>
      </w:r>
      <w:r w:rsidR="002F7A35" w:rsidRPr="00A706AF">
        <w:rPr>
          <w:sz w:val="20"/>
          <w:szCs w:val="24"/>
          <w:rtl/>
        </w:rPr>
        <w:t xml:space="preserve"> 114 בעמ' 124)</w:t>
      </w:r>
      <w:r w:rsidR="002F7A35" w:rsidRPr="00DC6F9A">
        <w:rPr>
          <w:rtl/>
        </w:rPr>
        <w:t>.</w:t>
      </w:r>
      <w:r w:rsidRPr="00DC6F9A">
        <w:rPr>
          <w:rFonts w:hint="cs"/>
          <w:rtl/>
        </w:rPr>
        <w:t>"</w:t>
      </w:r>
    </w:p>
    <w:p w14:paraId="705C401B" w14:textId="4414256D" w:rsidR="002F7A35" w:rsidRPr="00DC6F9A" w:rsidRDefault="002F7A35" w:rsidP="00DC6F9A">
      <w:pPr>
        <w:pStyle w:val="a9"/>
        <w:rPr>
          <w:rFonts w:ascii="FrankRuehl" w:hAnsi="FrankRuehl"/>
          <w:sz w:val="28"/>
          <w:rtl/>
        </w:rPr>
      </w:pPr>
      <w:r w:rsidRPr="00DC6F9A">
        <w:rPr>
          <w:rFonts w:ascii="FrankRuehl" w:hAnsi="FrankRuehl"/>
          <w:i/>
          <w:sz w:val="28"/>
          <w:rtl/>
        </w:rPr>
        <w:t xml:space="preserve">כן ראה החלטת בית המשפט במסגרת תיקי </w:t>
      </w:r>
      <w:hyperlink r:id="rId9" w:history="1">
        <w:r w:rsidRPr="00DC6F9A">
          <w:rPr>
            <w:i/>
            <w:rtl/>
          </w:rPr>
          <w:t xml:space="preserve">ת"א </w:t>
        </w:r>
        <w:r w:rsidRPr="00A706AF">
          <w:rPr>
            <w:i/>
            <w:szCs w:val="24"/>
            <w:rtl/>
          </w:rPr>
          <w:t>(</w:t>
        </w:r>
        <w:proofErr w:type="spellStart"/>
        <w:r w:rsidRPr="00A706AF">
          <w:rPr>
            <w:i/>
            <w:szCs w:val="24"/>
            <w:rtl/>
          </w:rPr>
          <w:t>תל־אביב־יפו</w:t>
        </w:r>
        <w:proofErr w:type="spellEnd"/>
        <w:r w:rsidRPr="00A706AF">
          <w:rPr>
            <w:i/>
            <w:szCs w:val="24"/>
            <w:rtl/>
          </w:rPr>
          <w:t>)</w:t>
        </w:r>
        <w:r w:rsidRPr="00DC6F9A">
          <w:rPr>
            <w:i/>
            <w:rtl/>
          </w:rPr>
          <w:t xml:space="preserve"> 2082/99</w:t>
        </w:r>
      </w:hyperlink>
      <w:r w:rsidRPr="00DC6F9A">
        <w:rPr>
          <w:rFonts w:ascii="FrankRuehl" w:hAnsi="FrankRuehl"/>
          <w:i/>
          <w:sz w:val="28"/>
          <w:rtl/>
        </w:rPr>
        <w:t xml:space="preserve"> </w:t>
      </w:r>
      <w:hyperlink r:id="rId10" w:history="1">
        <w:proofErr w:type="spellStart"/>
        <w:r w:rsidRPr="00DC6F9A">
          <w:rPr>
            <w:i/>
            <w:rtl/>
          </w:rPr>
          <w:t>פש"ר</w:t>
        </w:r>
        <w:proofErr w:type="spellEnd"/>
        <w:r w:rsidRPr="00DC6F9A">
          <w:rPr>
            <w:i/>
            <w:rtl/>
          </w:rPr>
          <w:t xml:space="preserve"> </w:t>
        </w:r>
        <w:r w:rsidRPr="00A706AF">
          <w:rPr>
            <w:i/>
            <w:szCs w:val="24"/>
            <w:rtl/>
          </w:rPr>
          <w:t>(</w:t>
        </w:r>
        <w:proofErr w:type="spellStart"/>
        <w:r w:rsidRPr="00A706AF">
          <w:rPr>
            <w:i/>
            <w:szCs w:val="24"/>
            <w:rtl/>
          </w:rPr>
          <w:t>תל־אביב־יפו</w:t>
        </w:r>
        <w:proofErr w:type="spellEnd"/>
        <w:r w:rsidRPr="00A706AF">
          <w:rPr>
            <w:i/>
            <w:szCs w:val="24"/>
            <w:rtl/>
          </w:rPr>
          <w:t>)</w:t>
        </w:r>
        <w:r w:rsidRPr="00DC6F9A">
          <w:rPr>
            <w:i/>
            <w:rtl/>
          </w:rPr>
          <w:t xml:space="preserve"> 1460/98</w:t>
        </w:r>
      </w:hyperlink>
      <w:r w:rsidRPr="00DC6F9A">
        <w:rPr>
          <w:rFonts w:ascii="FrankRuehl" w:hAnsi="FrankRuehl"/>
          <w:i/>
          <w:sz w:val="28"/>
          <w:rtl/>
        </w:rPr>
        <w:t xml:space="preserve"> </w:t>
      </w:r>
      <w:r w:rsidR="00914C5E" w:rsidRPr="00A706AF">
        <w:rPr>
          <w:rFonts w:ascii="FrankRuehl" w:hAnsi="FrankRuehl" w:hint="cs"/>
          <w:i/>
          <w:sz w:val="28"/>
          <w:szCs w:val="24"/>
          <w:rtl/>
        </w:rPr>
        <w:t>(</w:t>
      </w:r>
      <w:r w:rsidRPr="00A706AF">
        <w:rPr>
          <w:rFonts w:ascii="FrankRuehl" w:hAnsi="FrankRuehl"/>
          <w:i/>
          <w:sz w:val="28"/>
          <w:szCs w:val="24"/>
          <w:rtl/>
        </w:rPr>
        <w:t>פורסם בנבו</w:t>
      </w:r>
      <w:r w:rsidR="00914C5E" w:rsidRPr="00A706AF">
        <w:rPr>
          <w:rFonts w:ascii="FrankRuehl" w:hAnsi="FrankRuehl" w:hint="cs"/>
          <w:i/>
          <w:sz w:val="28"/>
          <w:szCs w:val="24"/>
          <w:rtl/>
        </w:rPr>
        <w:t>)</w:t>
      </w:r>
      <w:r w:rsidRPr="00DC6F9A">
        <w:rPr>
          <w:rFonts w:ascii="FrankRuehl" w:hAnsi="FrankRuehl"/>
          <w:i/>
          <w:sz w:val="28"/>
          <w:rtl/>
        </w:rPr>
        <w:t xml:space="preserve"> שם כתבו אודות שכר כונס שלא השלים פעולתו שלא באשמתו </w:t>
      </w:r>
      <w:r w:rsidRPr="00A706AF">
        <w:rPr>
          <w:rFonts w:ascii="FrankRuehl" w:hAnsi="FrankRuehl"/>
          <w:i/>
          <w:sz w:val="28"/>
          <w:szCs w:val="24"/>
          <w:rtl/>
        </w:rPr>
        <w:t>(הכינוס בוטל בהחל</w:t>
      </w:r>
      <w:r w:rsidRPr="00A706AF">
        <w:rPr>
          <w:rFonts w:ascii="FrankRuehl" w:hAnsi="FrankRuehl"/>
          <w:sz w:val="28"/>
          <w:szCs w:val="24"/>
          <w:rtl/>
        </w:rPr>
        <w:t>טת בית המשפט)</w:t>
      </w:r>
      <w:r w:rsidRPr="00DC6F9A">
        <w:rPr>
          <w:rFonts w:ascii="FrankRuehl" w:hAnsi="FrankRuehl"/>
          <w:sz w:val="28"/>
          <w:rtl/>
        </w:rPr>
        <w:t>:</w:t>
      </w:r>
    </w:p>
    <w:p w14:paraId="175E9E48" w14:textId="04F4125F" w:rsidR="00DC6F9A" w:rsidRPr="00DC6F9A" w:rsidRDefault="00DC6F9A" w:rsidP="00DC6F9A">
      <w:pPr>
        <w:pStyle w:val="aa"/>
        <w:ind w:left="1440"/>
        <w:rPr>
          <w:rFonts w:ascii="FrankRuehl" w:hAnsi="FrankRuehl"/>
          <w:sz w:val="28"/>
          <w:rtl/>
        </w:rPr>
      </w:pPr>
      <w:r w:rsidRPr="00DC6F9A">
        <w:rPr>
          <w:rFonts w:hint="cs"/>
          <w:rtl/>
        </w:rPr>
        <w:t>"</w:t>
      </w:r>
      <w:r w:rsidR="002F7A35" w:rsidRPr="00DC6F9A">
        <w:rPr>
          <w:rtl/>
        </w:rPr>
        <w:t xml:space="preserve">באשר לזכאותו של כונס הנכסים לקבל את שכרו כאשר הליכי </w:t>
      </w:r>
      <w:proofErr w:type="spellStart"/>
      <w:r w:rsidR="002F7A35" w:rsidRPr="00DC6F9A">
        <w:rPr>
          <w:rtl/>
        </w:rPr>
        <w:t>הפש"ר</w:t>
      </w:r>
      <w:proofErr w:type="spellEnd"/>
      <w:r w:rsidR="002F7A35" w:rsidRPr="00DC6F9A">
        <w:rPr>
          <w:rtl/>
        </w:rPr>
        <w:t xml:space="preserve"> הופסקו, ניתן ללמוד באנלוגיה למקרה שבפניי מקביעתו של בית המשפט ב</w:t>
      </w:r>
      <w:hyperlink r:id="rId11" w:history="1">
        <w:r w:rsidR="002F7A35" w:rsidRPr="00A0014F">
          <w:rPr>
            <w:rtl/>
          </w:rPr>
          <w:t>ע"א 2689/08</w:t>
        </w:r>
      </w:hyperlink>
      <w:r w:rsidR="002F7A35" w:rsidRPr="00DC6F9A">
        <w:rPr>
          <w:rtl/>
        </w:rPr>
        <w:t xml:space="preserve"> רגב נ' בנק הפועלים בע"מ [פורסם בנבו].</w:t>
      </w:r>
      <w:r w:rsidRPr="00DC6F9A">
        <w:rPr>
          <w:rFonts w:hint="cs"/>
          <w:rtl/>
        </w:rPr>
        <w:t>"</w:t>
      </w:r>
    </w:p>
    <w:p w14:paraId="0808F971" w14:textId="77777777" w:rsidR="002F7A35" w:rsidRPr="00DC6F9A" w:rsidRDefault="002F7A35" w:rsidP="00DC6F9A">
      <w:pPr>
        <w:pStyle w:val="a9"/>
        <w:rPr>
          <w:rFonts w:ascii="FrankRuehl" w:hAnsi="FrankRuehl"/>
          <w:i/>
          <w:sz w:val="28"/>
          <w:rtl/>
        </w:rPr>
      </w:pPr>
      <w:r w:rsidRPr="00DC6F9A">
        <w:rPr>
          <w:rFonts w:ascii="FrankRuehl" w:hAnsi="FrankRuehl"/>
          <w:i/>
          <w:sz w:val="28"/>
          <w:rtl/>
        </w:rPr>
        <w:t>הרי שע"פ הפסיקה האזרחית עולה כי כינוס שלא הושלם, יש לבחון היקף התשלום בהתאם לשעות עבודה והיקף הפעולות שבוצעו, אך לא בהתאם לתוצאות הפעולה אם הייתה מגיעה לסיומה</w:t>
      </w:r>
      <w:r w:rsidRPr="00DC6F9A">
        <w:rPr>
          <w:rFonts w:ascii="FrankRuehl" w:hAnsi="FrankRuehl" w:hint="cs"/>
          <w:i/>
          <w:sz w:val="28"/>
          <w:rtl/>
        </w:rPr>
        <w:t>.</w:t>
      </w:r>
    </w:p>
    <w:p w14:paraId="5B561727" w14:textId="19A5B3EC" w:rsidR="002F7A35" w:rsidRPr="00DC6F9A" w:rsidRDefault="002F7A35" w:rsidP="00DC6F9A">
      <w:pPr>
        <w:pStyle w:val="a9"/>
        <w:numPr>
          <w:ilvl w:val="0"/>
          <w:numId w:val="35"/>
        </w:numPr>
        <w:spacing w:after="200"/>
        <w:rPr>
          <w:rFonts w:ascii="FrankRuehl" w:hAnsi="FrankRuehl"/>
          <w:sz w:val="28"/>
          <w:rtl/>
        </w:rPr>
      </w:pPr>
      <w:r w:rsidRPr="00DC6F9A">
        <w:rPr>
          <w:rFonts w:ascii="FrankRuehl" w:hAnsi="FrankRuehl" w:hint="cs"/>
          <w:sz w:val="28"/>
          <w:rtl/>
        </w:rPr>
        <w:lastRenderedPageBreak/>
        <w:t xml:space="preserve">בית הדין אינו מכיר פסיקה המחייבת ששכר כונסי נכסים </w:t>
      </w:r>
      <w:r w:rsidR="00DC6F9A" w:rsidRPr="00DC6F9A">
        <w:rPr>
          <w:rFonts w:ascii="FrankRuehl" w:hAnsi="FrankRuehl" w:hint="cs"/>
          <w:sz w:val="28"/>
          <w:rtl/>
        </w:rPr>
        <w:t>יעמו</w:t>
      </w:r>
      <w:r w:rsidRPr="00DC6F9A">
        <w:rPr>
          <w:rFonts w:ascii="FrankRuehl" w:hAnsi="FrankRuehl" w:hint="cs"/>
          <w:sz w:val="28"/>
          <w:rtl/>
        </w:rPr>
        <w:t>ד</w:t>
      </w:r>
      <w:r w:rsidR="00DC6F9A" w:rsidRPr="00DC6F9A">
        <w:rPr>
          <w:rFonts w:ascii="FrankRuehl" w:hAnsi="FrankRuehl" w:hint="cs"/>
          <w:sz w:val="28"/>
          <w:rtl/>
        </w:rPr>
        <w:t xml:space="preserve"> תמיד </w:t>
      </w:r>
      <w:r w:rsidRPr="00DC6F9A">
        <w:rPr>
          <w:rFonts w:ascii="FrankRuehl" w:hAnsi="FrankRuehl" w:hint="cs"/>
          <w:sz w:val="28"/>
          <w:rtl/>
        </w:rPr>
        <w:t>על 4%</w:t>
      </w:r>
      <w:r w:rsidR="00DC6F9A" w:rsidRPr="00DC6F9A">
        <w:rPr>
          <w:rFonts w:ascii="FrankRuehl" w:hAnsi="FrankRuehl" w:hint="cs"/>
          <w:sz w:val="28"/>
          <w:rtl/>
        </w:rPr>
        <w:t>.</w:t>
      </w:r>
      <w:r w:rsidRPr="00DC6F9A">
        <w:rPr>
          <w:rFonts w:ascii="FrankRuehl" w:hAnsi="FrankRuehl" w:hint="cs"/>
          <w:sz w:val="28"/>
          <w:rtl/>
        </w:rPr>
        <w:t xml:space="preserve"> שכר הכונסים נקבע על פי בית הדין בהתאם לשווי נכס, מחיר נכס, אזור גאוגרפי, ומאמץ שהושקע, הסכום המקסימלי בחוק הינו לא יותר מ-4%, אך בית הדין</w:t>
      </w:r>
      <w:r w:rsidR="00DC6F9A" w:rsidRPr="00DC6F9A">
        <w:rPr>
          <w:rFonts w:ascii="FrankRuehl" w:hAnsi="FrankRuehl" w:hint="cs"/>
          <w:sz w:val="28"/>
          <w:rtl/>
        </w:rPr>
        <w:t xml:space="preserve"> רשאי לפסוק פחות. בית הדין ורק בית הדין מוסמך לקבוע </w:t>
      </w:r>
      <w:r w:rsidRPr="00DC6F9A">
        <w:rPr>
          <w:rFonts w:ascii="FrankRuehl" w:hAnsi="FrankRuehl" w:hint="cs"/>
          <w:sz w:val="28"/>
          <w:rtl/>
        </w:rPr>
        <w:t>מה הסכום הראוי על הפעולות שנעשו בתהליך הכינוס.</w:t>
      </w:r>
    </w:p>
    <w:p w14:paraId="25249F6B" w14:textId="03CF5AE1" w:rsidR="002F7A35" w:rsidRPr="00DC6F9A" w:rsidRDefault="002F7A35" w:rsidP="00DC6F9A">
      <w:pPr>
        <w:pStyle w:val="a9"/>
        <w:numPr>
          <w:ilvl w:val="0"/>
          <w:numId w:val="35"/>
        </w:numPr>
        <w:spacing w:after="200"/>
        <w:rPr>
          <w:rFonts w:ascii="FrankRuehl" w:hAnsi="FrankRuehl"/>
          <w:sz w:val="28"/>
          <w:rtl/>
        </w:rPr>
      </w:pPr>
      <w:r w:rsidRPr="00DC6F9A">
        <w:rPr>
          <w:rFonts w:ascii="FrankRuehl" w:hAnsi="FrankRuehl" w:hint="cs"/>
          <w:sz w:val="28"/>
          <w:rtl/>
        </w:rPr>
        <w:t>נוכח האמור ובהתאם להלכה סבור בית הדין כי הכונסים אינם זכאים לשכר עבור מכירת הנכס מכיוון שהבעלים חזרו בהם והנכס לא נמכר ומשכך תהליך הכינוס לא הושלם.</w:t>
      </w:r>
      <w:r w:rsidR="00914C5E">
        <w:rPr>
          <w:rFonts w:ascii="FrankRuehl" w:hAnsi="FrankRuehl" w:hint="cs"/>
          <w:sz w:val="28"/>
          <w:rtl/>
        </w:rPr>
        <w:t xml:space="preserve"> </w:t>
      </w:r>
      <w:r w:rsidRPr="00DC6F9A">
        <w:rPr>
          <w:rFonts w:ascii="FrankRuehl" w:hAnsi="FrankRuehl" w:hint="cs"/>
          <w:sz w:val="28"/>
          <w:rtl/>
        </w:rPr>
        <w:t>אמנם לכונסים מגיע שכר על טרחתם ועשיית פעולות לניהול הנכס על מנת למכרו ומשכך בית הדין קוצב את שכר הכונסים</w:t>
      </w:r>
      <w:r w:rsidR="00DC6F9A" w:rsidRPr="00DC6F9A">
        <w:rPr>
          <w:rFonts w:ascii="FrankRuehl" w:hAnsi="FrankRuehl" w:hint="cs"/>
          <w:sz w:val="28"/>
          <w:rtl/>
        </w:rPr>
        <w:t>:</w:t>
      </w:r>
      <w:r w:rsidRPr="00DC6F9A">
        <w:rPr>
          <w:rFonts w:ascii="FrankRuehl" w:hAnsi="FrankRuehl" w:hint="cs"/>
          <w:sz w:val="28"/>
          <w:rtl/>
        </w:rPr>
        <w:t xml:space="preserve"> 40,000 </w:t>
      </w:r>
      <w:r w:rsidR="00914C5E">
        <w:rPr>
          <w:rFonts w:ascii="FrankRuehl" w:hAnsi="FrankRuehl" w:hint="cs"/>
          <w:sz w:val="28"/>
          <w:rtl/>
        </w:rPr>
        <w:t>ש"ח</w:t>
      </w:r>
      <w:r w:rsidRPr="00DC6F9A">
        <w:rPr>
          <w:rFonts w:ascii="FrankRuehl" w:hAnsi="FrankRuehl" w:hint="cs"/>
          <w:sz w:val="28"/>
          <w:rtl/>
        </w:rPr>
        <w:t xml:space="preserve"> בתוספת מע"מ.</w:t>
      </w:r>
    </w:p>
    <w:p w14:paraId="0904983A" w14:textId="77777777" w:rsidR="002F7A35" w:rsidRPr="00DC6F9A" w:rsidRDefault="002F7A35" w:rsidP="00DC6F9A">
      <w:pPr>
        <w:pStyle w:val="a9"/>
        <w:numPr>
          <w:ilvl w:val="0"/>
          <w:numId w:val="35"/>
        </w:numPr>
        <w:spacing w:after="200"/>
        <w:rPr>
          <w:rFonts w:ascii="FrankRuehl" w:hAnsi="FrankRuehl"/>
          <w:sz w:val="28"/>
        </w:rPr>
      </w:pPr>
      <w:r w:rsidRPr="00DC6F9A">
        <w:rPr>
          <w:rFonts w:ascii="FrankRuehl" w:hAnsi="FrankRuehl" w:hint="cs"/>
          <w:sz w:val="28"/>
          <w:rtl/>
        </w:rPr>
        <w:t>לאחר תשלום שכ"ט זה ע"י שני הצדדים בחלקים שווים לכונסים יבוטל הליך הכינוס והתיק ייסגר.</w:t>
      </w:r>
    </w:p>
    <w:p w14:paraId="30BFD2A7" w14:textId="77777777" w:rsidR="00914C5E" w:rsidRDefault="00914C5E" w:rsidP="00DC6F9A">
      <w:pPr>
        <w:pStyle w:val="a9"/>
        <w:jc w:val="center"/>
        <w:rPr>
          <w:rFonts w:eastAsia="Calibri" w:cs="Narkisim"/>
          <w:b/>
          <w:bCs/>
          <w:kern w:val="28"/>
          <w:sz w:val="23"/>
          <w:szCs w:val="23"/>
          <w:rtl/>
          <w:lang w:eastAsia="he-IL"/>
        </w:rPr>
      </w:pPr>
    </w:p>
    <w:p w14:paraId="1050A012" w14:textId="546E910F" w:rsidR="002F7A35" w:rsidRPr="00DC6F9A" w:rsidRDefault="002F7A35" w:rsidP="00533D2E">
      <w:pPr>
        <w:pStyle w:val="aff1"/>
        <w:rPr>
          <w:rtl/>
          <w:lang w:eastAsia="he-IL"/>
        </w:rPr>
      </w:pPr>
      <w:r w:rsidRPr="00DC6F9A">
        <w:rPr>
          <w:rFonts w:hint="cs"/>
          <w:rtl/>
          <w:lang w:eastAsia="he-IL"/>
        </w:rPr>
        <w:t>הרב בן ציון ציוני</w:t>
      </w:r>
    </w:p>
    <w:p w14:paraId="18CB9061" w14:textId="77777777" w:rsidR="00914C5E" w:rsidRDefault="00914C5E" w:rsidP="002F7A35">
      <w:pPr>
        <w:pStyle w:val="a9"/>
        <w:rPr>
          <w:rFonts w:ascii="FrankRuehl" w:hAnsi="FrankRuehl"/>
          <w:sz w:val="28"/>
          <w:rtl/>
        </w:rPr>
      </w:pPr>
    </w:p>
    <w:p w14:paraId="00199275" w14:textId="573B7725" w:rsidR="002F7A35" w:rsidRDefault="002F7A35" w:rsidP="00531EBD">
      <w:pPr>
        <w:pStyle w:val="af"/>
        <w:rPr>
          <w:rFonts w:ascii="FrankRuehl" w:hAnsi="FrankRuehl"/>
          <w:sz w:val="28"/>
          <w:rtl/>
        </w:rPr>
      </w:pPr>
      <w:r w:rsidRPr="00531EBD">
        <w:rPr>
          <w:rFonts w:hint="cs"/>
          <w:i/>
          <w:color w:val="000000" w:themeColor="text1"/>
          <w:rtl/>
        </w:rPr>
        <w:t>מצטרף</w:t>
      </w:r>
      <w:r>
        <w:rPr>
          <w:rFonts w:ascii="FrankRuehl" w:hAnsi="FrankRuehl" w:hint="cs"/>
          <w:sz w:val="28"/>
          <w:rtl/>
        </w:rPr>
        <w:t xml:space="preserve"> למסקנות</w:t>
      </w:r>
      <w:r w:rsidR="00B923C4">
        <w:rPr>
          <w:rFonts w:ascii="FrankRuehl" w:hAnsi="FrankRuehl" w:hint="cs"/>
          <w:sz w:val="28"/>
          <w:rtl/>
        </w:rPr>
        <w:t>.</w:t>
      </w:r>
    </w:p>
    <w:p w14:paraId="28641EF0" w14:textId="77777777" w:rsidR="00914C5E" w:rsidRDefault="00914C5E" w:rsidP="00DC6F9A">
      <w:pPr>
        <w:pStyle w:val="a9"/>
        <w:jc w:val="center"/>
        <w:rPr>
          <w:rFonts w:eastAsia="Calibri" w:cs="Narkisim"/>
          <w:b/>
          <w:bCs/>
          <w:kern w:val="28"/>
          <w:sz w:val="23"/>
          <w:szCs w:val="23"/>
          <w:rtl/>
          <w:lang w:eastAsia="he-IL"/>
        </w:rPr>
      </w:pPr>
    </w:p>
    <w:p w14:paraId="499E8E71" w14:textId="4A012137" w:rsidR="00DC6F9A" w:rsidRDefault="002F7A35" w:rsidP="00533D2E">
      <w:pPr>
        <w:pStyle w:val="aff1"/>
        <w:rPr>
          <w:rtl/>
          <w:lang w:eastAsia="he-IL"/>
        </w:rPr>
      </w:pPr>
      <w:r w:rsidRPr="00DC6F9A">
        <w:rPr>
          <w:rFonts w:hint="cs"/>
          <w:rtl/>
          <w:lang w:eastAsia="he-IL"/>
        </w:rPr>
        <w:t xml:space="preserve">הרב משה שלום שור </w:t>
      </w:r>
    </w:p>
    <w:p w14:paraId="7FF4AEF8" w14:textId="77777777" w:rsidR="00DC6F9A" w:rsidRPr="00DC6F9A" w:rsidRDefault="00DC6F9A" w:rsidP="00DC6F9A">
      <w:pPr>
        <w:pStyle w:val="a9"/>
        <w:jc w:val="center"/>
        <w:rPr>
          <w:rFonts w:eastAsia="Calibri" w:cs="Narkisim"/>
          <w:b/>
          <w:bCs/>
          <w:kern w:val="28"/>
          <w:sz w:val="23"/>
          <w:szCs w:val="23"/>
          <w:rtl/>
          <w:lang w:eastAsia="he-IL"/>
        </w:rPr>
      </w:pPr>
    </w:p>
    <w:p w14:paraId="6AF0038C" w14:textId="77777777" w:rsidR="002F7A35" w:rsidRPr="00A70B35" w:rsidRDefault="002F7A35" w:rsidP="00533D2E">
      <w:pPr>
        <w:pStyle w:val="ae"/>
        <w:rPr>
          <w:rtl/>
        </w:rPr>
      </w:pPr>
      <w:r w:rsidRPr="00A70B35">
        <w:rPr>
          <w:rtl/>
        </w:rPr>
        <w:t>לדעתי, לאחר שכונסי הנכסים עשו מלאכתם עד תום, ובפנינו הסכם מכר לאישור, אלא שהצדדים המוכרים חוזרים בהם, הרי שכונסי הנכסים זכאים למלוא שכרם, כנהוג בפסיקות בתי הדין.</w:t>
      </w:r>
    </w:p>
    <w:p w14:paraId="14C50B2C" w14:textId="77777777" w:rsidR="002F7A35" w:rsidRPr="00533D2E" w:rsidRDefault="002F7A35" w:rsidP="00533D2E">
      <w:pPr>
        <w:pStyle w:val="af"/>
        <w:rPr>
          <w:sz w:val="28"/>
          <w:rtl/>
        </w:rPr>
      </w:pPr>
      <w:r w:rsidRPr="00533D2E">
        <w:rPr>
          <w:sz w:val="28"/>
          <w:rtl/>
        </w:rPr>
        <w:t>ראה פסק דין ביה"ד הגדול בתיק 1378234/1 הדומה מאד במהותו למקרה שבפנינו. גם שאר נימוקי כונסי הנכסים נכונים בעיני. נימוקים מורחבים יצורפו לתיק.</w:t>
      </w:r>
    </w:p>
    <w:p w14:paraId="0868ABD0" w14:textId="77777777" w:rsidR="00DC6F9A" w:rsidRDefault="00DC6F9A" w:rsidP="002F7A35">
      <w:pPr>
        <w:rPr>
          <w:rFonts w:ascii="FrankRuehl" w:hAnsi="FrankRuehl"/>
          <w:sz w:val="28"/>
          <w:rtl/>
        </w:rPr>
      </w:pPr>
    </w:p>
    <w:p w14:paraId="2CBF7CA0" w14:textId="5F5434B0" w:rsidR="00DC6F9A" w:rsidRPr="00DC6F9A" w:rsidRDefault="00DC6F9A" w:rsidP="00533D2E">
      <w:pPr>
        <w:pStyle w:val="aff1"/>
        <w:rPr>
          <w:rtl/>
          <w:lang w:eastAsia="he-IL"/>
        </w:rPr>
      </w:pPr>
      <w:r w:rsidRPr="00DC6F9A">
        <w:rPr>
          <w:rFonts w:hint="cs"/>
          <w:rtl/>
          <w:lang w:eastAsia="he-IL"/>
        </w:rPr>
        <w:t>הרב אבירן יצחק הלוי</w:t>
      </w:r>
      <w:r w:rsidR="00533D2E">
        <w:rPr>
          <w:rFonts w:hint="cs"/>
          <w:rtl/>
          <w:lang w:eastAsia="he-IL"/>
        </w:rPr>
        <w:t xml:space="preserve"> </w:t>
      </w:r>
      <w:r>
        <w:rPr>
          <w:rFonts w:hint="cs"/>
          <w:rtl/>
          <w:lang w:eastAsia="he-IL"/>
        </w:rPr>
        <w:t>-</w:t>
      </w:r>
      <w:r w:rsidR="00533D2E">
        <w:rPr>
          <w:rFonts w:hint="cs"/>
          <w:rtl/>
          <w:lang w:eastAsia="he-IL"/>
        </w:rPr>
        <w:t xml:space="preserve"> </w:t>
      </w:r>
      <w:r>
        <w:rPr>
          <w:rFonts w:hint="cs"/>
          <w:rtl/>
          <w:lang w:eastAsia="he-IL"/>
        </w:rPr>
        <w:t>אב"ד</w:t>
      </w:r>
    </w:p>
    <w:p w14:paraId="0EB9FF14" w14:textId="77777777" w:rsidR="00914C5E" w:rsidRDefault="00914C5E" w:rsidP="002F7A35">
      <w:pPr>
        <w:rPr>
          <w:rFonts w:ascii="FrankRuehl" w:hAnsi="FrankRuehl"/>
          <w:sz w:val="28"/>
          <w:rtl/>
        </w:rPr>
      </w:pPr>
    </w:p>
    <w:p w14:paraId="5B80429C" w14:textId="77777777" w:rsidR="00B923C4" w:rsidRDefault="00B923C4" w:rsidP="002F7A35">
      <w:pPr>
        <w:rPr>
          <w:rFonts w:ascii="FrankRuehl" w:hAnsi="FrankRuehl"/>
          <w:sz w:val="28"/>
          <w:rtl/>
        </w:rPr>
      </w:pPr>
    </w:p>
    <w:p w14:paraId="664A4D75" w14:textId="1F56AEE5" w:rsidR="002F7A35" w:rsidRDefault="002F7A35" w:rsidP="00531EBD">
      <w:pPr>
        <w:pStyle w:val="af"/>
        <w:rPr>
          <w:rFonts w:ascii="FrankRuehl" w:hAnsi="FrankRuehl"/>
          <w:sz w:val="28"/>
          <w:rtl/>
        </w:rPr>
      </w:pPr>
      <w:r w:rsidRPr="00531EBD">
        <w:rPr>
          <w:i/>
          <w:color w:val="000000" w:themeColor="text1"/>
          <w:rtl/>
        </w:rPr>
        <w:t>והלכה</w:t>
      </w:r>
      <w:r w:rsidRPr="00A70B35">
        <w:rPr>
          <w:rFonts w:ascii="FrankRuehl" w:hAnsi="FrankRuehl"/>
          <w:sz w:val="28"/>
          <w:rtl/>
        </w:rPr>
        <w:t xml:space="preserve"> כדעת הרוב.</w:t>
      </w:r>
    </w:p>
    <w:p w14:paraId="67F6BBC9" w14:textId="77777777" w:rsidR="00914C5E" w:rsidRDefault="00914C5E" w:rsidP="003E7B8A">
      <w:pPr>
        <w:rPr>
          <w:rFonts w:ascii="FrankRuehl" w:hAnsi="FrankRuehl"/>
          <w:sz w:val="28"/>
          <w:rtl/>
        </w:rPr>
      </w:pPr>
    </w:p>
    <w:p w14:paraId="6FF4EEF1" w14:textId="107B5EF6" w:rsidR="003E7B8A" w:rsidRPr="002D35CA" w:rsidRDefault="003E7B8A" w:rsidP="00531EBD">
      <w:pPr>
        <w:pStyle w:val="af"/>
        <w:rPr>
          <w:sz w:val="24"/>
          <w:szCs w:val="24"/>
          <w:rtl/>
        </w:rPr>
      </w:pPr>
      <w:r w:rsidRPr="00F85B12">
        <w:rPr>
          <w:rFonts w:ascii="FrankRuehl" w:hAnsi="FrankRuehl"/>
          <w:sz w:val="28"/>
          <w:rtl/>
        </w:rPr>
        <w:t xml:space="preserve">ניתן </w:t>
      </w:r>
      <w:r w:rsidRPr="00531EBD">
        <w:rPr>
          <w:i/>
          <w:color w:val="000000" w:themeColor="text1"/>
          <w:rtl/>
        </w:rPr>
        <w:t>ביום</w:t>
      </w:r>
      <w:r w:rsidRPr="00F85B12">
        <w:rPr>
          <w:rFonts w:ascii="FrankRuehl" w:hAnsi="FrankRuehl"/>
          <w:sz w:val="28"/>
          <w:rtl/>
        </w:rPr>
        <w:t xml:space="preserve"> </w:t>
      </w:r>
      <w:sdt>
        <w:sdtPr>
          <w:rPr>
            <w:rFonts w:ascii="FrankRuehl" w:hAnsi="FrankRuehl"/>
            <w:sz w:val="28"/>
            <w:rtl/>
          </w:rPr>
          <w:alias w:val="SignatureHebDate"/>
          <w:tag w:val="SignatureHebDate"/>
          <w:id w:val="333033048"/>
          <w:placeholder>
            <w:docPart w:val="E90999E91ECE4336AF18596552508FF2"/>
          </w:placeholder>
        </w:sdtPr>
        <w:sdtContent>
          <w:r>
            <w:rPr>
              <w:rFonts w:ascii="FrankRuehl" w:hAnsi="FrankRuehl"/>
              <w:sz w:val="28"/>
              <w:rtl/>
            </w:rPr>
            <w:t xml:space="preserve">ג' באלול </w:t>
          </w:r>
          <w:proofErr w:type="spellStart"/>
          <w:r>
            <w:rPr>
              <w:rFonts w:ascii="FrankRuehl" w:hAnsi="FrankRuehl"/>
              <w:sz w:val="28"/>
              <w:rtl/>
            </w:rPr>
            <w:t>התשפ"ו</w:t>
          </w:r>
          <w:proofErr w:type="spellEnd"/>
        </w:sdtContent>
      </w:sdt>
      <w:r w:rsidRPr="00F85B12">
        <w:rPr>
          <w:rFonts w:ascii="FrankRuehl" w:hAnsi="FrankRuehl"/>
          <w:sz w:val="28"/>
          <w:rtl/>
        </w:rPr>
        <w:t xml:space="preserve"> </w:t>
      </w:r>
      <w:r w:rsidRPr="00533D2E">
        <w:rPr>
          <w:rFonts w:hint="cs"/>
          <w:sz w:val="24"/>
          <w:szCs w:val="24"/>
          <w:rtl/>
        </w:rPr>
        <w:t>(</w:t>
      </w:r>
      <w:sdt>
        <w:sdtPr>
          <w:rPr>
            <w:sz w:val="24"/>
            <w:szCs w:val="24"/>
            <w:rtl/>
          </w:rPr>
          <w:alias w:val="SignatureDate"/>
          <w:tag w:val="SignatureDate"/>
          <w:id w:val="-411708249"/>
          <w:placeholder>
            <w:docPart w:val="41F4208C98E645FF9F6D9F4AC98DFB51"/>
          </w:placeholder>
        </w:sdtPr>
        <w:sdtContent>
          <w:r w:rsidRPr="00533D2E">
            <w:rPr>
              <w:sz w:val="24"/>
              <w:szCs w:val="24"/>
              <w:rtl/>
            </w:rPr>
            <w:t>16/08/2026</w:t>
          </w:r>
        </w:sdtContent>
      </w:sdt>
      <w:r w:rsidRPr="00533D2E">
        <w:rPr>
          <w:rFonts w:hint="cs"/>
          <w:sz w:val="24"/>
          <w:szCs w:val="24"/>
          <w:rtl/>
        </w:rPr>
        <w:t>).</w:t>
      </w:r>
      <w:bookmarkStart w:id="4" w:name="WillDocument"/>
      <w:bookmarkEnd w:id="4"/>
    </w:p>
    <w:p w14:paraId="70B9ABFF" w14:textId="77777777" w:rsidR="00DC6F9A" w:rsidRDefault="00DC6F9A" w:rsidP="002F7A35">
      <w:pPr>
        <w:rPr>
          <w:rFonts w:ascii="FrankRuehl" w:hAnsi="FrankRuehl"/>
          <w:sz w:val="28"/>
          <w:rtl/>
        </w:rPr>
      </w:pPr>
    </w:p>
    <w:p w14:paraId="61E619C0" w14:textId="7B0BDFB2" w:rsidR="00DC6F9A" w:rsidRPr="00533D2E" w:rsidRDefault="00DC6F9A" w:rsidP="00533D2E">
      <w:pPr>
        <w:pStyle w:val="aff1"/>
        <w:rPr>
          <w:rtl/>
        </w:rPr>
      </w:pPr>
      <w:r w:rsidRPr="00533D2E">
        <w:rPr>
          <w:rFonts w:hint="cs"/>
          <w:rtl/>
        </w:rPr>
        <w:t>הרב אבירן יצחק הלוי</w:t>
      </w:r>
      <w:r w:rsidRPr="00533D2E">
        <w:rPr>
          <w:rtl/>
        </w:rPr>
        <w:t>–</w:t>
      </w:r>
      <w:r w:rsidRPr="00533D2E">
        <w:rPr>
          <w:rFonts w:hint="cs"/>
          <w:rtl/>
        </w:rPr>
        <w:t xml:space="preserve"> אב"ד</w:t>
      </w:r>
      <w:r w:rsidRPr="00533D2E">
        <w:rPr>
          <w:rFonts w:hint="cs"/>
          <w:rtl/>
        </w:rPr>
        <w:tab/>
        <w:t xml:space="preserve">          הרב משה שלום שור            הרב בן ציון ציוני</w:t>
      </w:r>
    </w:p>
    <w:p w14:paraId="71C11029" w14:textId="66EEA54D" w:rsidR="00297169" w:rsidRDefault="00DC6F9A" w:rsidP="00641C31">
      <w:pPr>
        <w:rPr>
          <w:color w:val="7F7F7F" w:themeColor="text1" w:themeTint="80"/>
          <w:rtl/>
          <w:lang w:eastAsia="he-IL"/>
        </w:rPr>
      </w:pPr>
      <w:r>
        <w:rPr>
          <w:rFonts w:hint="cs"/>
          <w:color w:val="7F7F7F" w:themeColor="text1" w:themeTint="80"/>
          <w:rtl/>
          <w:lang w:eastAsia="he-IL"/>
        </w:rPr>
        <w:t>ע</w:t>
      </w:r>
      <w:r w:rsidR="0029323C" w:rsidRPr="001E50C8">
        <w:rPr>
          <w:rFonts w:hint="cs"/>
          <w:color w:val="7F7F7F" w:themeColor="text1" w:themeTint="80"/>
          <w:rtl/>
          <w:lang w:eastAsia="he-IL"/>
        </w:rPr>
        <w:t>ותק זה עשוי להכיל שינויי ותיקוני עריכה</w:t>
      </w:r>
    </w:p>
    <w:p w14:paraId="2C311F3E" w14:textId="77777777" w:rsidR="00297169" w:rsidRPr="00297169" w:rsidRDefault="00297169" w:rsidP="00297169">
      <w:pPr>
        <w:rPr>
          <w:rtl/>
          <w:lang w:eastAsia="he-IL"/>
        </w:rPr>
      </w:pPr>
    </w:p>
    <w:p w14:paraId="1F1F189E" w14:textId="7388633D" w:rsidR="00297169" w:rsidRDefault="00297169" w:rsidP="00297169">
      <w:pPr>
        <w:rPr>
          <w:rtl/>
          <w:lang w:eastAsia="he-IL"/>
        </w:rPr>
      </w:pPr>
    </w:p>
    <w:p w14:paraId="52541392" w14:textId="7E7F9DFA" w:rsidR="00641C31" w:rsidRPr="00297169" w:rsidRDefault="00297169" w:rsidP="00297169">
      <w:pPr>
        <w:tabs>
          <w:tab w:val="left" w:pos="7286"/>
        </w:tabs>
        <w:rPr>
          <w:rtl/>
          <w:lang w:eastAsia="he-IL"/>
        </w:rPr>
      </w:pPr>
      <w:r>
        <w:rPr>
          <w:rtl/>
          <w:lang w:eastAsia="he-IL"/>
        </w:rPr>
        <w:tab/>
      </w:r>
      <w:bookmarkEnd w:id="0"/>
    </w:p>
    <w:sectPr w:rsidR="00641C31" w:rsidRPr="00297169" w:rsidSect="00ED4071">
      <w:headerReference w:type="default"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6C64C" w14:textId="77777777" w:rsidR="00653841" w:rsidRDefault="00653841" w:rsidP="00E2756A">
      <w:r>
        <w:separator/>
      </w:r>
    </w:p>
  </w:endnote>
  <w:endnote w:type="continuationSeparator" w:id="0">
    <w:p w14:paraId="256F2BE1" w14:textId="77777777" w:rsidR="00653841" w:rsidRDefault="00653841"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66914458"/>
      <w:docPartObj>
        <w:docPartGallery w:val="Page Numbers (Bottom of Page)"/>
        <w:docPartUnique/>
      </w:docPartObj>
    </w:sdtPr>
    <w:sdtContent>
      <w:p w14:paraId="440B0804" w14:textId="77777777" w:rsidR="003E5CC1" w:rsidRDefault="003E5CC1" w:rsidP="00F4312B">
        <w:pPr>
          <w:pStyle w:val="aff5"/>
          <w:jc w:val="center"/>
        </w:pPr>
        <w:r>
          <w:fldChar w:fldCharType="begin"/>
        </w:r>
        <w:r>
          <w:rPr>
            <w:rtl/>
            <w:cs/>
          </w:rPr>
          <w:instrText>PAGE   \* MERGEFORMAT</w:instrText>
        </w:r>
        <w:r>
          <w:fldChar w:fldCharType="separate"/>
        </w:r>
        <w:r w:rsidR="00D02377" w:rsidRPr="00D02377">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FCC34" w14:textId="77777777" w:rsidR="00653841" w:rsidRDefault="00653841" w:rsidP="00E2756A">
      <w:r>
        <w:separator/>
      </w:r>
    </w:p>
  </w:footnote>
  <w:footnote w:type="continuationSeparator" w:id="0">
    <w:p w14:paraId="6FF22277" w14:textId="77777777" w:rsidR="00653841" w:rsidRDefault="00653841"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A60A" w14:textId="77777777" w:rsidR="003E5CC1" w:rsidRDefault="003E5CC1"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67C3C6F1" w14:textId="77777777" w:rsidR="003E5CC1" w:rsidRDefault="003E5CC1"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5CB3E863" w14:textId="77777777" w:rsidR="003E5CC1" w:rsidRDefault="003E5CC1">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7BE3"/>
    <w:multiLevelType w:val="hybridMultilevel"/>
    <w:tmpl w:val="2B28F8D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75542"/>
    <w:multiLevelType w:val="hybridMultilevel"/>
    <w:tmpl w:val="14AC538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B7974"/>
    <w:multiLevelType w:val="hybridMultilevel"/>
    <w:tmpl w:val="6B4EEA5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5"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6" w15:restartNumberingAfterBreak="0">
    <w:nsid w:val="247B32DD"/>
    <w:multiLevelType w:val="hybridMultilevel"/>
    <w:tmpl w:val="E616617E"/>
    <w:lvl w:ilvl="0" w:tplc="AC28E724">
      <w:start w:val="1"/>
      <w:numFmt w:val="hebrew1"/>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 w15:restartNumberingAfterBreak="0">
    <w:nsid w:val="24D81FE6"/>
    <w:multiLevelType w:val="hybridMultilevel"/>
    <w:tmpl w:val="0D3AB9E0"/>
    <w:lvl w:ilvl="0" w:tplc="AEE041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2C027F9B"/>
    <w:multiLevelType w:val="hybridMultilevel"/>
    <w:tmpl w:val="E8EE88A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6B86644A">
      <w:start w:val="1"/>
      <w:numFmt w:val="hebrew1"/>
      <w:lvlText w:val="%3."/>
      <w:lvlJc w:val="right"/>
      <w:pPr>
        <w:ind w:left="2160" w:hanging="180"/>
      </w:pPr>
      <w:rPr>
        <w:rFonts w:ascii="Times New Roman" w:eastAsia="Calibri" w:hAnsi="Times New Roman" w:cs="FrankRueh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11"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8CA219B"/>
    <w:multiLevelType w:val="hybridMultilevel"/>
    <w:tmpl w:val="BF0EF1FA"/>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4" w15:restartNumberingAfterBreak="0">
    <w:nsid w:val="525D0452"/>
    <w:multiLevelType w:val="hybridMultilevel"/>
    <w:tmpl w:val="C64E307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643F9B"/>
    <w:multiLevelType w:val="hybridMultilevel"/>
    <w:tmpl w:val="E1F62B5C"/>
    <w:lvl w:ilvl="0" w:tplc="04090013">
      <w:start w:val="1"/>
      <w:numFmt w:val="hebrew1"/>
      <w:lvlText w:val="%1."/>
      <w:lvlJc w:val="center"/>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6" w15:restartNumberingAfterBreak="0">
    <w:nsid w:val="569E20F6"/>
    <w:multiLevelType w:val="hybridMultilevel"/>
    <w:tmpl w:val="462463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18"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9"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22"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23"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848131120">
    <w:abstractNumId w:val="18"/>
  </w:num>
  <w:num w:numId="2" w16cid:durableId="552233289">
    <w:abstractNumId w:val="20"/>
  </w:num>
  <w:num w:numId="3" w16cid:durableId="437453430">
    <w:abstractNumId w:val="12"/>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17445229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0663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36021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6293670">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16cid:durableId="2088188216">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16cid:durableId="15038580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9493867">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16cid:durableId="3345770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9600420">
    <w:abstractNumId w:val="8"/>
  </w:num>
  <w:num w:numId="13" w16cid:durableId="52235295">
    <w:abstractNumId w:val="20"/>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16cid:durableId="1650748946">
    <w:abstractNumId w:val="20"/>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16cid:durableId="69235274">
    <w:abstractNumId w:val="10"/>
  </w:num>
  <w:num w:numId="16" w16cid:durableId="793057356">
    <w:abstractNumId w:val="3"/>
  </w:num>
  <w:num w:numId="17" w16cid:durableId="2104376191">
    <w:abstractNumId w:val="5"/>
  </w:num>
  <w:num w:numId="18" w16cid:durableId="2910576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0138788">
    <w:abstractNumId w:val="11"/>
  </w:num>
  <w:num w:numId="20" w16cid:durableId="8531518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370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51529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10759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3882093">
    <w:abstractNumId w:val="4"/>
  </w:num>
  <w:num w:numId="25" w16cid:durableId="1974826295">
    <w:abstractNumId w:val="22"/>
  </w:num>
  <w:num w:numId="26" w16cid:durableId="1822428533">
    <w:abstractNumId w:val="6"/>
  </w:num>
  <w:num w:numId="27" w16cid:durableId="63381920">
    <w:abstractNumId w:val="7"/>
  </w:num>
  <w:num w:numId="28" w16cid:durableId="1553077739">
    <w:abstractNumId w:val="1"/>
  </w:num>
  <w:num w:numId="29" w16cid:durableId="1409183312">
    <w:abstractNumId w:val="15"/>
  </w:num>
  <w:num w:numId="30" w16cid:durableId="1922643686">
    <w:abstractNumId w:val="13"/>
  </w:num>
  <w:num w:numId="31" w16cid:durableId="1819152034">
    <w:abstractNumId w:val="2"/>
  </w:num>
  <w:num w:numId="32" w16cid:durableId="1180705272">
    <w:abstractNumId w:val="14"/>
  </w:num>
  <w:num w:numId="33" w16cid:durableId="417529916">
    <w:abstractNumId w:val="9"/>
  </w:num>
  <w:num w:numId="34" w16cid:durableId="368840329">
    <w:abstractNumId w:val="16"/>
  </w:num>
  <w:num w:numId="35" w16cid:durableId="87778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8B1"/>
    <w:rsid w:val="00006421"/>
    <w:rsid w:val="00007AAC"/>
    <w:rsid w:val="0003570F"/>
    <w:rsid w:val="00047688"/>
    <w:rsid w:val="000503D0"/>
    <w:rsid w:val="000538F0"/>
    <w:rsid w:val="0007219D"/>
    <w:rsid w:val="00084BF4"/>
    <w:rsid w:val="00091F34"/>
    <w:rsid w:val="000931F4"/>
    <w:rsid w:val="000C6ECB"/>
    <w:rsid w:val="000D7569"/>
    <w:rsid w:val="000E0573"/>
    <w:rsid w:val="000E5E32"/>
    <w:rsid w:val="000F3D3C"/>
    <w:rsid w:val="000F6784"/>
    <w:rsid w:val="00126C40"/>
    <w:rsid w:val="00141834"/>
    <w:rsid w:val="001463AE"/>
    <w:rsid w:val="0016726C"/>
    <w:rsid w:val="0017301A"/>
    <w:rsid w:val="001A042C"/>
    <w:rsid w:val="001B439E"/>
    <w:rsid w:val="001C4A27"/>
    <w:rsid w:val="001D1878"/>
    <w:rsid w:val="001E35DA"/>
    <w:rsid w:val="001E50C8"/>
    <w:rsid w:val="001F3BB4"/>
    <w:rsid w:val="00204DAE"/>
    <w:rsid w:val="00230B23"/>
    <w:rsid w:val="0026102F"/>
    <w:rsid w:val="0029323C"/>
    <w:rsid w:val="00297169"/>
    <w:rsid w:val="002A5312"/>
    <w:rsid w:val="002F6A54"/>
    <w:rsid w:val="002F7A35"/>
    <w:rsid w:val="00331442"/>
    <w:rsid w:val="00336118"/>
    <w:rsid w:val="003772D4"/>
    <w:rsid w:val="003832F1"/>
    <w:rsid w:val="00387082"/>
    <w:rsid w:val="003B23D0"/>
    <w:rsid w:val="003B2EE9"/>
    <w:rsid w:val="003D0A52"/>
    <w:rsid w:val="003E5CC1"/>
    <w:rsid w:val="003E6E03"/>
    <w:rsid w:val="003E7B8A"/>
    <w:rsid w:val="00403D72"/>
    <w:rsid w:val="00417C0C"/>
    <w:rsid w:val="00420DDA"/>
    <w:rsid w:val="00444DC3"/>
    <w:rsid w:val="00445DE0"/>
    <w:rsid w:val="00460F4E"/>
    <w:rsid w:val="0046145A"/>
    <w:rsid w:val="00473506"/>
    <w:rsid w:val="00473811"/>
    <w:rsid w:val="0047605D"/>
    <w:rsid w:val="00482C8E"/>
    <w:rsid w:val="00493D5A"/>
    <w:rsid w:val="004A70E1"/>
    <w:rsid w:val="004B2706"/>
    <w:rsid w:val="004B71CD"/>
    <w:rsid w:val="004C1FB1"/>
    <w:rsid w:val="004D5C89"/>
    <w:rsid w:val="004D747B"/>
    <w:rsid w:val="004E46AC"/>
    <w:rsid w:val="00501235"/>
    <w:rsid w:val="0051147D"/>
    <w:rsid w:val="00531EBD"/>
    <w:rsid w:val="00533D2E"/>
    <w:rsid w:val="0053596D"/>
    <w:rsid w:val="00542D5D"/>
    <w:rsid w:val="005452D2"/>
    <w:rsid w:val="00551E47"/>
    <w:rsid w:val="005564F3"/>
    <w:rsid w:val="005605C5"/>
    <w:rsid w:val="00582096"/>
    <w:rsid w:val="005A3BE7"/>
    <w:rsid w:val="005B7AD2"/>
    <w:rsid w:val="005C02ED"/>
    <w:rsid w:val="005D431F"/>
    <w:rsid w:val="005F3092"/>
    <w:rsid w:val="006040E7"/>
    <w:rsid w:val="006107D4"/>
    <w:rsid w:val="006108B1"/>
    <w:rsid w:val="00621046"/>
    <w:rsid w:val="006329DF"/>
    <w:rsid w:val="00641C31"/>
    <w:rsid w:val="00644E42"/>
    <w:rsid w:val="00653841"/>
    <w:rsid w:val="0065626D"/>
    <w:rsid w:val="00661492"/>
    <w:rsid w:val="006649F6"/>
    <w:rsid w:val="006656FB"/>
    <w:rsid w:val="00670A3C"/>
    <w:rsid w:val="006B46AA"/>
    <w:rsid w:val="006B66A4"/>
    <w:rsid w:val="006C69A3"/>
    <w:rsid w:val="006D2102"/>
    <w:rsid w:val="006E6BBF"/>
    <w:rsid w:val="006E7140"/>
    <w:rsid w:val="006E7815"/>
    <w:rsid w:val="00716B42"/>
    <w:rsid w:val="00735864"/>
    <w:rsid w:val="00740D3F"/>
    <w:rsid w:val="00746D83"/>
    <w:rsid w:val="00751FC8"/>
    <w:rsid w:val="0075572F"/>
    <w:rsid w:val="007658D7"/>
    <w:rsid w:val="00777FD0"/>
    <w:rsid w:val="007A0A66"/>
    <w:rsid w:val="007A5E21"/>
    <w:rsid w:val="007B25A9"/>
    <w:rsid w:val="007C0B59"/>
    <w:rsid w:val="007C3413"/>
    <w:rsid w:val="007D387A"/>
    <w:rsid w:val="007E77A4"/>
    <w:rsid w:val="007F65F7"/>
    <w:rsid w:val="00806638"/>
    <w:rsid w:val="00806974"/>
    <w:rsid w:val="0082152E"/>
    <w:rsid w:val="00823169"/>
    <w:rsid w:val="00833A02"/>
    <w:rsid w:val="008429F3"/>
    <w:rsid w:val="00845750"/>
    <w:rsid w:val="00845771"/>
    <w:rsid w:val="008612C3"/>
    <w:rsid w:val="008807C9"/>
    <w:rsid w:val="00883EAA"/>
    <w:rsid w:val="00886B2D"/>
    <w:rsid w:val="008A683B"/>
    <w:rsid w:val="008E5955"/>
    <w:rsid w:val="008F7137"/>
    <w:rsid w:val="00914C5E"/>
    <w:rsid w:val="00925E26"/>
    <w:rsid w:val="009403D8"/>
    <w:rsid w:val="009679A7"/>
    <w:rsid w:val="009A6600"/>
    <w:rsid w:val="009B7441"/>
    <w:rsid w:val="009D23D6"/>
    <w:rsid w:val="009F2662"/>
    <w:rsid w:val="009F71E9"/>
    <w:rsid w:val="00A0014F"/>
    <w:rsid w:val="00A15740"/>
    <w:rsid w:val="00A165F5"/>
    <w:rsid w:val="00A706AF"/>
    <w:rsid w:val="00AC3C3B"/>
    <w:rsid w:val="00AD3F81"/>
    <w:rsid w:val="00AE0944"/>
    <w:rsid w:val="00AF4BFC"/>
    <w:rsid w:val="00AF7330"/>
    <w:rsid w:val="00B26170"/>
    <w:rsid w:val="00B36834"/>
    <w:rsid w:val="00B4599E"/>
    <w:rsid w:val="00B629CF"/>
    <w:rsid w:val="00B74063"/>
    <w:rsid w:val="00B843D4"/>
    <w:rsid w:val="00B91EE4"/>
    <w:rsid w:val="00B923C4"/>
    <w:rsid w:val="00BB1644"/>
    <w:rsid w:val="00BB7B01"/>
    <w:rsid w:val="00BC1FF3"/>
    <w:rsid w:val="00BC2954"/>
    <w:rsid w:val="00BD18F7"/>
    <w:rsid w:val="00BE09F6"/>
    <w:rsid w:val="00BE2125"/>
    <w:rsid w:val="00BF58F9"/>
    <w:rsid w:val="00BF7C9F"/>
    <w:rsid w:val="00C07E82"/>
    <w:rsid w:val="00C17BEA"/>
    <w:rsid w:val="00C426B1"/>
    <w:rsid w:val="00C61598"/>
    <w:rsid w:val="00C75942"/>
    <w:rsid w:val="00C805A8"/>
    <w:rsid w:val="00C85A9B"/>
    <w:rsid w:val="00C8609C"/>
    <w:rsid w:val="00C957FA"/>
    <w:rsid w:val="00CA5144"/>
    <w:rsid w:val="00CB4524"/>
    <w:rsid w:val="00CD3C23"/>
    <w:rsid w:val="00CD70E7"/>
    <w:rsid w:val="00CE18E3"/>
    <w:rsid w:val="00D01A98"/>
    <w:rsid w:val="00D02377"/>
    <w:rsid w:val="00D1056A"/>
    <w:rsid w:val="00D1058F"/>
    <w:rsid w:val="00D116D2"/>
    <w:rsid w:val="00D2669D"/>
    <w:rsid w:val="00D362E5"/>
    <w:rsid w:val="00D41648"/>
    <w:rsid w:val="00D4325A"/>
    <w:rsid w:val="00D54F4A"/>
    <w:rsid w:val="00D55DBB"/>
    <w:rsid w:val="00D732F4"/>
    <w:rsid w:val="00D77F78"/>
    <w:rsid w:val="00D93CE5"/>
    <w:rsid w:val="00DA2C8B"/>
    <w:rsid w:val="00DB7CB8"/>
    <w:rsid w:val="00DC6F9A"/>
    <w:rsid w:val="00DD0F11"/>
    <w:rsid w:val="00DE152D"/>
    <w:rsid w:val="00DE7442"/>
    <w:rsid w:val="00DF366C"/>
    <w:rsid w:val="00DF57C1"/>
    <w:rsid w:val="00E104C3"/>
    <w:rsid w:val="00E24346"/>
    <w:rsid w:val="00E2756A"/>
    <w:rsid w:val="00E3002C"/>
    <w:rsid w:val="00E311D4"/>
    <w:rsid w:val="00E43697"/>
    <w:rsid w:val="00E462B3"/>
    <w:rsid w:val="00E478DE"/>
    <w:rsid w:val="00E56E5C"/>
    <w:rsid w:val="00E74940"/>
    <w:rsid w:val="00E84CCE"/>
    <w:rsid w:val="00EA0A6F"/>
    <w:rsid w:val="00EB36FE"/>
    <w:rsid w:val="00EC5CFC"/>
    <w:rsid w:val="00ED0D18"/>
    <w:rsid w:val="00ED4071"/>
    <w:rsid w:val="00ED540D"/>
    <w:rsid w:val="00ED6E2F"/>
    <w:rsid w:val="00EE1DB1"/>
    <w:rsid w:val="00F0126F"/>
    <w:rsid w:val="00F01359"/>
    <w:rsid w:val="00F12C84"/>
    <w:rsid w:val="00F4312B"/>
    <w:rsid w:val="00F56183"/>
    <w:rsid w:val="00F56D6F"/>
    <w:rsid w:val="00FA1A5E"/>
    <w:rsid w:val="00FA1DAB"/>
    <w:rsid w:val="00FB09BF"/>
    <w:rsid w:val="00FC2886"/>
    <w:rsid w:val="00FC3BF7"/>
    <w:rsid w:val="00FD1376"/>
    <w:rsid w:val="00FD2214"/>
    <w:rsid w:val="00FD4FCC"/>
    <w:rsid w:val="00FD7825"/>
    <w:rsid w:val="00FF1CAC"/>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40577"/>
  <w15:docId w15:val="{D15FD347-9F26-4AD1-ACE4-7C5339C5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A2C8B"/>
    <w:rPr>
      <w:rFonts w:eastAsia="Times New Roman" w:cs="FrankRuehl"/>
      <w:sz w:val="28"/>
      <w:szCs w:val="28"/>
      <w:lang w:eastAsia="he-IL"/>
    </w:rPr>
  </w:style>
  <w:style w:type="paragraph" w:customStyle="1" w:styleId="af">
    <w:name w:val="פסקה רגילה"/>
    <w:basedOn w:val="a3"/>
    <w:link w:val="af0"/>
    <w:qFormat/>
    <w:rsid w:val="00E2756A"/>
    <w:pPr>
      <w:snapToGrid w:val="0"/>
      <w:spacing w:after="120" w:line="276" w:lineRule="auto"/>
      <w:ind w:firstLine="397"/>
    </w:pPr>
    <w:rPr>
      <w:rFonts w:eastAsia="Calibri"/>
      <w:kern w:val="28"/>
    </w:rPr>
  </w:style>
  <w:style w:type="paragraph" w:customStyle="1" w:styleId="ae">
    <w:name w:val="פסקת פתיחה"/>
    <w:basedOn w:val="a3"/>
    <w:next w:val="af"/>
    <w:link w:val="ad"/>
    <w:qFormat/>
    <w:rsid w:val="00DA2C8B"/>
    <w:pPr>
      <w:spacing w:before="120" w:after="120" w:line="276" w:lineRule="auto"/>
    </w:pPr>
    <w:rPr>
      <w:rFonts w:eastAsia="Times New Roman"/>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E2756A"/>
    <w:rPr>
      <w:rFonts w:eastAsia="Calibri" w:cs="FrankRuehl"/>
      <w:kern w:val="28"/>
      <w:sz w:val="22"/>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sz w:val="28"/>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character" w:styleId="Hyperlink">
    <w:name w:val="Hyperlink"/>
    <w:basedOn w:val="a4"/>
    <w:uiPriority w:val="99"/>
    <w:unhideWhenUsed/>
    <w:rsid w:val="00886B2D"/>
    <w:rPr>
      <w:color w:val="0000FF" w:themeColor="hyperlink"/>
      <w:u w:val="single"/>
    </w:rPr>
  </w:style>
  <w:style w:type="table" w:customStyle="1" w:styleId="TableGrid1">
    <w:name w:val="Table Grid1"/>
    <w:basedOn w:val="a5"/>
    <w:next w:val="afffb"/>
    <w:uiPriority w:val="59"/>
    <w:rsid w:val="00886B2D"/>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7">
    <w:name w:val="כותרת [א.] צד1"/>
    <w:basedOn w:val="a3"/>
    <w:next w:val="ae"/>
    <w:qFormat/>
    <w:rsid w:val="00297169"/>
    <w:pPr>
      <w:keepNext/>
      <w:tabs>
        <w:tab w:val="left" w:pos="397"/>
      </w:tabs>
      <w:spacing w:before="360" w:after="120" w:line="276" w:lineRule="auto"/>
      <w:ind w:left="360" w:hanging="360"/>
      <w:outlineLvl w:val="3"/>
    </w:pPr>
    <w:rPr>
      <w:rFonts w:ascii="Arial" w:eastAsia="Times New Roman" w:hAnsi="Arial" w:cs="Narkisim"/>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inks/psika/?link=&#1506;&#1488;%20136/92&amp;Pvol=&#1502;&#149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vo.co.il/links/psika/?link=&#1506;&#1488;%202689/08"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nevo.co.il/links/psika/?link=&#1508;&#1513;&#1512;%201460/98" TargetMode="External"/><Relationship Id="rId4" Type="http://schemas.openxmlformats.org/officeDocument/2006/relationships/settings" Target="settings.xml"/><Relationship Id="rId9" Type="http://schemas.openxmlformats.org/officeDocument/2006/relationships/hyperlink" Target="http://www.nevo.co.il/links/psika/?link=&#1514;&#1488;%202082/99"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0999E91ECE4336AF18596552508FF2"/>
        <w:category>
          <w:name w:val="כללי"/>
          <w:gallery w:val="placeholder"/>
        </w:category>
        <w:types>
          <w:type w:val="bbPlcHdr"/>
        </w:types>
        <w:behaviors>
          <w:behavior w:val="content"/>
        </w:behaviors>
        <w:guid w:val="{99F4B7EE-23B0-4AD0-A607-D946578759DC}"/>
      </w:docPartPr>
      <w:docPartBody>
        <w:p w:rsidR="00D12899" w:rsidRDefault="00D12899" w:rsidP="00D12899">
          <w:pPr>
            <w:pStyle w:val="E90999E91ECE4336AF18596552508FF2"/>
          </w:pPr>
          <w:r w:rsidRPr="00424C58">
            <w:rPr>
              <w:rStyle w:val="a3"/>
            </w:rPr>
            <w:t>Click here to enter text.</w:t>
          </w:r>
        </w:p>
      </w:docPartBody>
    </w:docPart>
    <w:docPart>
      <w:docPartPr>
        <w:name w:val="41F4208C98E645FF9F6D9F4AC98DFB51"/>
        <w:category>
          <w:name w:val="כללי"/>
          <w:gallery w:val="placeholder"/>
        </w:category>
        <w:types>
          <w:type w:val="bbPlcHdr"/>
        </w:types>
        <w:behaviors>
          <w:behavior w:val="content"/>
        </w:behaviors>
        <w:guid w:val="{5D7C6404-6B37-41F8-9CF8-610888CC5A48}"/>
      </w:docPartPr>
      <w:docPartBody>
        <w:p w:rsidR="00D12899" w:rsidRDefault="00D12899" w:rsidP="00D12899">
          <w:pPr>
            <w:pStyle w:val="41F4208C98E645FF9F6D9F4AC98DFB51"/>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21D"/>
    <w:rsid w:val="0007219D"/>
    <w:rsid w:val="001C4A27"/>
    <w:rsid w:val="00230B23"/>
    <w:rsid w:val="0046145A"/>
    <w:rsid w:val="005A3BE7"/>
    <w:rsid w:val="005C1796"/>
    <w:rsid w:val="00667AAE"/>
    <w:rsid w:val="007F65F7"/>
    <w:rsid w:val="009C65EC"/>
    <w:rsid w:val="00AF4BFC"/>
    <w:rsid w:val="00B26170"/>
    <w:rsid w:val="00B4599E"/>
    <w:rsid w:val="00BA321D"/>
    <w:rsid w:val="00BB6516"/>
    <w:rsid w:val="00C830D5"/>
    <w:rsid w:val="00CB55C6"/>
    <w:rsid w:val="00D12899"/>
    <w:rsid w:val="00DE3BA9"/>
    <w:rsid w:val="00E84CCE"/>
    <w:rsid w:val="00F0126F"/>
    <w:rsid w:val="00FD22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12899"/>
    <w:rPr>
      <w:color w:val="808080"/>
    </w:rPr>
  </w:style>
  <w:style w:type="paragraph" w:customStyle="1" w:styleId="E90999E91ECE4336AF18596552508FF2">
    <w:name w:val="E90999E91ECE4336AF18596552508FF2"/>
    <w:rsid w:val="00D12899"/>
    <w:pPr>
      <w:bidi/>
      <w:spacing w:line="278" w:lineRule="auto"/>
    </w:pPr>
    <w:rPr>
      <w:kern w:val="2"/>
      <w:sz w:val="24"/>
      <w:szCs w:val="24"/>
      <w14:ligatures w14:val="standardContextual"/>
    </w:rPr>
  </w:style>
  <w:style w:type="paragraph" w:customStyle="1" w:styleId="41F4208C98E645FF9F6D9F4AC98DFB51">
    <w:name w:val="41F4208C98E645FF9F6D9F4AC98DFB51"/>
    <w:rsid w:val="00D12899"/>
    <w:pPr>
      <w:bidi/>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4A733-FBFE-4B2E-9613-D3C4F6AC1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4062</Words>
  <Characters>20314</Characters>
  <Application>Microsoft Office Word</Application>
  <DocSecurity>0</DocSecurity>
  <Lines>169</Lines>
  <Paragraphs>48</Paragraphs>
  <ScaleCrop>false</ScaleCrop>
  <HeadingPairs>
    <vt:vector size="2" baseType="variant">
      <vt:variant>
        <vt:lpstr>שם</vt:lpstr>
      </vt:variant>
      <vt:variant>
        <vt:i4>1</vt:i4>
      </vt:variant>
    </vt:vector>
  </HeadingPairs>
  <TitlesOfParts>
    <vt:vector size="1" baseType="lpstr">
      <vt:lpstr>חלוקת רכוש</vt:lpstr>
    </vt:vector>
  </TitlesOfParts>
  <Company>HP</Company>
  <LinksUpToDate>false</LinksUpToDate>
  <CharactersWithSpaces>24328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חלוקת רכוש</dc:title>
  <dc:creator>הרב אבירן יצחק הלוי - אב"ד, הרב משה שלום שור, הרב בן ציון ציוני</dc:creator>
  <cp:keywords>כונס נכסים, חזרה, שכר כונס נכסים, לא הושלם</cp:keywords>
  <cp:lastModifiedBy>יהודה שקדי</cp:lastModifiedBy>
  <cp:revision>2</cp:revision>
  <dcterms:created xsi:type="dcterms:W3CDTF">2026-09-28T06:42:00Z</dcterms:created>
  <dcterms:modified xsi:type="dcterms:W3CDTF">2026-09-28T06:42:00Z</dcterms:modified>
</cp:coreProperties>
</file>