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84573" w14:textId="77777777" w:rsidR="006E7140" w:rsidRPr="00D93CE5" w:rsidRDefault="006E7140" w:rsidP="003D0A52">
      <w:pPr>
        <w:pStyle w:val="ad"/>
      </w:pPr>
      <w:bookmarkStart w:id="0" w:name="_Hlk238997966"/>
      <w:r w:rsidRPr="00D93CE5">
        <w:rPr>
          <w:rFonts w:hint="cs"/>
          <w:rtl/>
        </w:rPr>
        <w:t>ב"ה</w:t>
      </w:r>
    </w:p>
    <w:p w14:paraId="573D34B4" w14:textId="7139AF09" w:rsidR="006E7140" w:rsidRPr="00D2282D" w:rsidRDefault="006E7140" w:rsidP="003D0A52">
      <w:pPr>
        <w:pStyle w:val="aff8"/>
        <w:rPr>
          <w:sz w:val="22"/>
          <w:szCs w:val="28"/>
          <w:rtl/>
        </w:rPr>
      </w:pPr>
      <w:r w:rsidRPr="00D2282D">
        <w:rPr>
          <w:rFonts w:hint="cs"/>
          <w:sz w:val="22"/>
          <w:szCs w:val="28"/>
          <w:rtl/>
        </w:rPr>
        <w:t>תיק</w:t>
      </w:r>
      <w:r w:rsidR="00467D95" w:rsidRPr="00D2282D">
        <w:rPr>
          <w:rFonts w:hint="cs"/>
          <w:sz w:val="22"/>
          <w:szCs w:val="28"/>
          <w:rtl/>
        </w:rPr>
        <w:t xml:space="preserve"> </w:t>
      </w:r>
      <w:r w:rsidR="00D2282D" w:rsidRPr="00D2282D">
        <w:rPr>
          <w:rFonts w:hint="cs"/>
          <w:sz w:val="22"/>
          <w:szCs w:val="28"/>
          <w:rtl/>
        </w:rPr>
        <w:t>1372660/2</w:t>
      </w:r>
    </w:p>
    <w:p w14:paraId="621BB4C1" w14:textId="78B072F5" w:rsidR="006E7140" w:rsidRPr="003D0A52" w:rsidRDefault="006E7140" w:rsidP="003D0A52">
      <w:pPr>
        <w:pStyle w:val="afff2"/>
        <w:rPr>
          <w:rtl/>
        </w:rPr>
      </w:pPr>
      <w:r w:rsidRPr="003D0A52">
        <w:rPr>
          <w:rFonts w:hint="cs"/>
          <w:rtl/>
        </w:rPr>
        <w:t xml:space="preserve">בבית הדין הרבני </w:t>
      </w:r>
      <w:r w:rsidR="00D2282D">
        <w:rPr>
          <w:rFonts w:hint="cs"/>
          <w:rtl/>
        </w:rPr>
        <w:t>פתח תקווה</w:t>
      </w:r>
    </w:p>
    <w:p w14:paraId="5BF2485F" w14:textId="77777777" w:rsidR="006E7140" w:rsidRPr="00D93CE5" w:rsidRDefault="006E7140" w:rsidP="006E7140">
      <w:pPr>
        <w:pStyle w:val="afff3"/>
        <w:rPr>
          <w:rtl/>
        </w:rPr>
      </w:pPr>
      <w:r w:rsidRPr="00D93CE5">
        <w:rPr>
          <w:rFonts w:hint="cs"/>
          <w:rtl/>
        </w:rPr>
        <w:t>לפני כבוד הדיינים:</w:t>
      </w:r>
    </w:p>
    <w:p w14:paraId="6026089F" w14:textId="10D15F46" w:rsidR="00C4645C" w:rsidRPr="007C217E" w:rsidRDefault="00C4645C" w:rsidP="00C4645C">
      <w:pPr>
        <w:tabs>
          <w:tab w:val="center" w:pos="4153"/>
          <w:tab w:val="right" w:pos="8306"/>
        </w:tabs>
        <w:overflowPunct w:val="0"/>
        <w:autoSpaceDE w:val="0"/>
        <w:autoSpaceDN w:val="0"/>
        <w:adjustRightInd w:val="0"/>
        <w:spacing w:after="360" w:line="276" w:lineRule="exact"/>
        <w:jc w:val="center"/>
        <w:textAlignment w:val="baseline"/>
        <w:rPr>
          <w:rFonts w:eastAsia="Calibri" w:cs="Narkisim"/>
          <w:b/>
          <w:bCs/>
          <w:kern w:val="28"/>
          <w:sz w:val="23"/>
          <w:szCs w:val="23"/>
          <w:rtl/>
        </w:rPr>
      </w:pPr>
      <w:r w:rsidRPr="007C217E">
        <w:rPr>
          <w:rFonts w:eastAsia="Calibri" w:cs="Narkisim" w:hint="cs"/>
          <w:b/>
          <w:bCs/>
          <w:kern w:val="28"/>
          <w:sz w:val="28"/>
          <w:szCs w:val="23"/>
          <w:rtl/>
        </w:rPr>
        <w:t xml:space="preserve">הרב </w:t>
      </w:r>
      <w:r w:rsidR="00D2282D">
        <w:rPr>
          <w:rFonts w:eastAsia="Calibri" w:cs="Narkisim" w:hint="cs"/>
          <w:b/>
          <w:bCs/>
          <w:kern w:val="28"/>
          <w:sz w:val="28"/>
          <w:szCs w:val="23"/>
          <w:rtl/>
        </w:rPr>
        <w:t xml:space="preserve">אברהם מייזלס </w:t>
      </w:r>
      <w:r w:rsidR="00D2282D">
        <w:rPr>
          <w:rFonts w:eastAsia="Calibri" w:cs="Narkisim"/>
          <w:b/>
          <w:bCs/>
          <w:kern w:val="28"/>
          <w:sz w:val="28"/>
          <w:szCs w:val="23"/>
          <w:rtl/>
        </w:rPr>
        <w:t>–</w:t>
      </w:r>
      <w:r w:rsidR="00D2282D">
        <w:rPr>
          <w:rFonts w:eastAsia="Calibri" w:cs="Narkisim" w:hint="cs"/>
          <w:b/>
          <w:bCs/>
          <w:kern w:val="28"/>
          <w:sz w:val="28"/>
          <w:szCs w:val="23"/>
          <w:rtl/>
        </w:rPr>
        <w:t xml:space="preserve"> אב"ד</w:t>
      </w:r>
      <w:r w:rsidRPr="007C217E">
        <w:rPr>
          <w:rFonts w:eastAsia="Calibri" w:cs="Narkisim" w:hint="cs"/>
          <w:b/>
          <w:bCs/>
          <w:kern w:val="28"/>
          <w:sz w:val="28"/>
          <w:szCs w:val="23"/>
          <w:rtl/>
        </w:rPr>
        <w:t xml:space="preserve">, הרב </w:t>
      </w:r>
      <w:r w:rsidR="00D2282D">
        <w:rPr>
          <w:rFonts w:eastAsia="Calibri" w:cs="Narkisim" w:hint="cs"/>
          <w:b/>
          <w:bCs/>
          <w:kern w:val="28"/>
          <w:sz w:val="28"/>
          <w:szCs w:val="23"/>
          <w:rtl/>
        </w:rPr>
        <w:t>בנימין לסרי</w:t>
      </w:r>
      <w:r w:rsidRPr="007C217E">
        <w:rPr>
          <w:rFonts w:eastAsia="Calibri" w:cs="Narkisim" w:hint="cs"/>
          <w:b/>
          <w:bCs/>
          <w:kern w:val="28"/>
          <w:sz w:val="28"/>
          <w:szCs w:val="23"/>
          <w:rtl/>
        </w:rPr>
        <w:t xml:space="preserve">, הרב </w:t>
      </w:r>
      <w:r w:rsidR="00D2282D">
        <w:rPr>
          <w:rFonts w:eastAsia="Calibri" w:cs="Narkisim" w:hint="cs"/>
          <w:b/>
          <w:bCs/>
          <w:kern w:val="28"/>
          <w:sz w:val="28"/>
          <w:szCs w:val="23"/>
          <w:rtl/>
        </w:rPr>
        <w:t>נחמיה נשר</w:t>
      </w:r>
    </w:p>
    <w:p w14:paraId="44A89110" w14:textId="3AF2A722" w:rsidR="006E7140" w:rsidRPr="00467D95" w:rsidRDefault="004D4898" w:rsidP="003D0A52">
      <w:pPr>
        <w:pStyle w:val="affa"/>
        <w:rPr>
          <w:sz w:val="28"/>
          <w:szCs w:val="28"/>
          <w:rtl/>
        </w:rPr>
      </w:pPr>
      <w:r w:rsidRPr="00D2282D">
        <w:rPr>
          <w:rFonts w:hint="cs"/>
          <w:sz w:val="24"/>
          <w:szCs w:val="28"/>
          <w:rtl/>
        </w:rPr>
        <w:t>ה</w:t>
      </w:r>
      <w:r w:rsidR="00422365" w:rsidRPr="00D2282D">
        <w:rPr>
          <w:rFonts w:hint="cs"/>
          <w:sz w:val="24"/>
          <w:szCs w:val="28"/>
          <w:rtl/>
        </w:rPr>
        <w:t>תובע</w:t>
      </w:r>
      <w:r w:rsidR="006E7140" w:rsidRPr="00D2282D">
        <w:rPr>
          <w:rFonts w:hint="cs"/>
          <w:sz w:val="24"/>
          <w:szCs w:val="28"/>
          <w:rtl/>
        </w:rPr>
        <w:t>:</w:t>
      </w:r>
      <w:r w:rsidR="006E7140" w:rsidRPr="003D0A52">
        <w:rPr>
          <w:rtl/>
        </w:rPr>
        <w:tab/>
      </w:r>
      <w:r w:rsidR="00D2282D">
        <w:rPr>
          <w:rtl/>
        </w:rPr>
        <w:tab/>
      </w:r>
      <w:r w:rsidR="006E7140" w:rsidRPr="00D2282D">
        <w:rPr>
          <w:rFonts w:hint="cs"/>
          <w:sz w:val="24"/>
          <w:szCs w:val="28"/>
          <w:rtl/>
        </w:rPr>
        <w:t>פלוני</w:t>
      </w:r>
      <w:r w:rsidR="00D2282D">
        <w:rPr>
          <w:rtl/>
        </w:rPr>
        <w:tab/>
      </w:r>
      <w:r w:rsidR="00463BFC">
        <w:rPr>
          <w:rFonts w:hint="cs"/>
          <w:rtl/>
        </w:rPr>
        <w:t xml:space="preserve"> </w:t>
      </w:r>
      <w:r w:rsidR="002434A7">
        <w:rPr>
          <w:sz w:val="24"/>
          <w:szCs w:val="24"/>
          <w:rtl/>
        </w:rPr>
        <w:tab/>
      </w:r>
      <w:r w:rsidR="00463BFC" w:rsidRPr="0041649A">
        <w:rPr>
          <w:rFonts w:hint="cs"/>
          <w:sz w:val="24"/>
          <w:szCs w:val="24"/>
          <w:rtl/>
        </w:rPr>
        <w:t>(</w:t>
      </w:r>
      <w:r w:rsidR="00467D95" w:rsidRPr="0041649A">
        <w:rPr>
          <w:rFonts w:hint="cs"/>
          <w:sz w:val="24"/>
          <w:szCs w:val="24"/>
          <w:rtl/>
        </w:rPr>
        <w:t>ע"י ב"כ עו"</w:t>
      </w:r>
      <w:r w:rsidR="00D2282D" w:rsidRPr="0041649A">
        <w:rPr>
          <w:rFonts w:hint="cs"/>
          <w:sz w:val="24"/>
          <w:szCs w:val="24"/>
          <w:rtl/>
        </w:rPr>
        <w:t>ד אבי גפן</w:t>
      </w:r>
      <w:r w:rsidR="00463BFC" w:rsidRPr="0041649A">
        <w:rPr>
          <w:rFonts w:hint="cs"/>
          <w:sz w:val="24"/>
          <w:szCs w:val="24"/>
          <w:rtl/>
        </w:rPr>
        <w:t>)</w:t>
      </w:r>
    </w:p>
    <w:p w14:paraId="11D1DFC4" w14:textId="77777777" w:rsidR="006E7140" w:rsidRPr="00D2282D" w:rsidRDefault="006E7140" w:rsidP="003D0A52">
      <w:pPr>
        <w:pStyle w:val="affa"/>
        <w:rPr>
          <w:sz w:val="24"/>
          <w:szCs w:val="28"/>
          <w:rtl/>
        </w:rPr>
      </w:pPr>
      <w:r w:rsidRPr="00D2282D">
        <w:rPr>
          <w:sz w:val="24"/>
          <w:szCs w:val="28"/>
          <w:rtl/>
        </w:rPr>
        <w:t>נגד</w:t>
      </w:r>
    </w:p>
    <w:p w14:paraId="3B822A96" w14:textId="1F0ACCDC" w:rsidR="006E7140" w:rsidRDefault="006E7140" w:rsidP="003D0A52">
      <w:pPr>
        <w:pStyle w:val="affa"/>
        <w:rPr>
          <w:rtl/>
        </w:rPr>
      </w:pPr>
      <w:r w:rsidRPr="00D2282D">
        <w:rPr>
          <w:rFonts w:hint="cs"/>
          <w:sz w:val="24"/>
          <w:szCs w:val="28"/>
          <w:rtl/>
        </w:rPr>
        <w:t>ה</w:t>
      </w:r>
      <w:r w:rsidR="00422365" w:rsidRPr="00D2282D">
        <w:rPr>
          <w:rFonts w:hint="cs"/>
          <w:sz w:val="24"/>
          <w:szCs w:val="28"/>
          <w:rtl/>
        </w:rPr>
        <w:t>נתבע</w:t>
      </w:r>
      <w:r w:rsidR="00D2282D" w:rsidRPr="00D2282D">
        <w:rPr>
          <w:rFonts w:hint="cs"/>
          <w:sz w:val="24"/>
          <w:szCs w:val="28"/>
          <w:rtl/>
        </w:rPr>
        <w:t>ת</w:t>
      </w:r>
      <w:r w:rsidRPr="00D2282D">
        <w:rPr>
          <w:rFonts w:hint="cs"/>
          <w:sz w:val="24"/>
          <w:szCs w:val="28"/>
          <w:rtl/>
        </w:rPr>
        <w:t>:</w:t>
      </w:r>
      <w:r>
        <w:rPr>
          <w:rtl/>
        </w:rPr>
        <w:tab/>
      </w:r>
      <w:r w:rsidRPr="00D2282D">
        <w:rPr>
          <w:rFonts w:hint="cs"/>
          <w:sz w:val="24"/>
          <w:szCs w:val="28"/>
          <w:rtl/>
        </w:rPr>
        <w:t>פלוני</w:t>
      </w:r>
      <w:r w:rsidR="00D2282D" w:rsidRPr="00D2282D">
        <w:rPr>
          <w:rFonts w:hint="cs"/>
          <w:sz w:val="24"/>
          <w:szCs w:val="28"/>
          <w:rtl/>
        </w:rPr>
        <w:t xml:space="preserve">ת </w:t>
      </w:r>
      <w:r w:rsidR="00D2282D">
        <w:rPr>
          <w:sz w:val="24"/>
          <w:szCs w:val="28"/>
          <w:rtl/>
        </w:rPr>
        <w:tab/>
      </w:r>
      <w:r w:rsidR="00D2282D">
        <w:rPr>
          <w:sz w:val="24"/>
          <w:szCs w:val="28"/>
          <w:rtl/>
        </w:rPr>
        <w:tab/>
      </w:r>
      <w:r w:rsidR="00D2282D" w:rsidRPr="0041649A">
        <w:rPr>
          <w:rFonts w:hint="cs"/>
          <w:sz w:val="22"/>
          <w:szCs w:val="24"/>
          <w:rtl/>
        </w:rPr>
        <w:t xml:space="preserve">(ע"י ב"כ </w:t>
      </w:r>
      <w:proofErr w:type="spellStart"/>
      <w:r w:rsidR="00D2282D" w:rsidRPr="0041649A">
        <w:rPr>
          <w:rFonts w:hint="cs"/>
          <w:sz w:val="22"/>
          <w:szCs w:val="24"/>
          <w:rtl/>
        </w:rPr>
        <w:t>טו"ר</w:t>
      </w:r>
      <w:proofErr w:type="spellEnd"/>
      <w:r w:rsidR="00D2282D" w:rsidRPr="0041649A">
        <w:rPr>
          <w:rFonts w:hint="cs"/>
          <w:sz w:val="22"/>
          <w:szCs w:val="24"/>
          <w:rtl/>
        </w:rPr>
        <w:t xml:space="preserve"> אלימלך הורוביץ)</w:t>
      </w:r>
      <w:r w:rsidR="00D2282D" w:rsidRPr="00D2282D">
        <w:rPr>
          <w:rFonts w:hint="cs"/>
          <w:sz w:val="22"/>
          <w:szCs w:val="24"/>
          <w:rtl/>
        </w:rPr>
        <w:t xml:space="preserve"> </w:t>
      </w:r>
      <w:r w:rsidR="00463BFC" w:rsidRPr="00D2282D">
        <w:rPr>
          <w:rFonts w:hint="cs"/>
          <w:sz w:val="22"/>
          <w:szCs w:val="24"/>
          <w:rtl/>
        </w:rPr>
        <w:t xml:space="preserve"> </w:t>
      </w:r>
    </w:p>
    <w:p w14:paraId="53CAF62E" w14:textId="151A44B8" w:rsidR="00C4645C" w:rsidRPr="00D83DAA" w:rsidRDefault="00C4645C" w:rsidP="00C4645C">
      <w:pPr>
        <w:spacing w:before="280" w:after="120" w:line="276" w:lineRule="auto"/>
        <w:jc w:val="center"/>
        <w:rPr>
          <w:rFonts w:ascii="Cambria" w:eastAsia="Times New Roman" w:hAnsi="Cambria" w:cs="Narkisim"/>
          <w:b/>
          <w:noProof/>
          <w:sz w:val="24"/>
          <w:szCs w:val="24"/>
          <w:rtl/>
          <w:lang w:eastAsia="he-IL"/>
        </w:rPr>
      </w:pPr>
      <w:r w:rsidRPr="00D83DAA">
        <w:rPr>
          <w:rFonts w:ascii="Cambria" w:eastAsia="Times New Roman" w:hAnsi="Cambria" w:cs="Narkisim"/>
          <w:b/>
          <w:noProof/>
          <w:sz w:val="24"/>
          <w:szCs w:val="24"/>
          <w:rtl/>
          <w:lang w:eastAsia="he-IL"/>
        </w:rPr>
        <w:t>הנדון:</w:t>
      </w:r>
      <w:r w:rsidRPr="00D83DAA">
        <w:rPr>
          <w:rFonts w:ascii="Cambria" w:eastAsia="Times New Roman" w:hAnsi="Cambria" w:cs="Narkisim" w:hint="cs"/>
          <w:b/>
          <w:noProof/>
          <w:sz w:val="24"/>
          <w:szCs w:val="24"/>
          <w:rtl/>
          <w:lang w:eastAsia="he-IL"/>
        </w:rPr>
        <w:t xml:space="preserve"> </w:t>
      </w:r>
      <w:r w:rsidR="00CE67A3" w:rsidRPr="00D83DAA">
        <w:rPr>
          <w:rFonts w:ascii="Cambria" w:eastAsia="Times New Roman" w:hAnsi="Cambria" w:cs="Narkisim"/>
          <w:b/>
          <w:noProof/>
          <w:sz w:val="24"/>
          <w:szCs w:val="24"/>
          <w:rtl/>
          <w:lang w:eastAsia="he-IL"/>
        </w:rPr>
        <w:t>ההשלכות הנובעות ממעמדם ההלכתי של בני זוג שהתגרשו וחזרו לחיות ללא חופה וקידושין במשך שנים כבעל ואישה, בכל הקשור לרכוש שהצטבר באותם שנים</w:t>
      </w:r>
    </w:p>
    <w:p w14:paraId="2C5336C7" w14:textId="77777777" w:rsidR="00C4645C" w:rsidRPr="007C217E" w:rsidRDefault="00C4645C" w:rsidP="00C4645C">
      <w:pPr>
        <w:keepNext/>
        <w:overflowPunct w:val="0"/>
        <w:autoSpaceDE w:val="0"/>
        <w:autoSpaceDN w:val="0"/>
        <w:adjustRightInd w:val="0"/>
        <w:spacing w:before="360" w:after="240" w:line="276" w:lineRule="exact"/>
        <w:jc w:val="center"/>
        <w:rPr>
          <w:rFonts w:ascii="Arial" w:eastAsia="Calibri" w:hAnsi="Arial"/>
          <w:bCs/>
          <w:spacing w:val="20"/>
          <w:kern w:val="28"/>
          <w:szCs w:val="32"/>
          <w:rtl/>
        </w:rPr>
      </w:pPr>
      <w:r w:rsidRPr="007C217E">
        <w:rPr>
          <w:rFonts w:ascii="Arial" w:eastAsia="Calibri" w:hAnsi="Arial" w:hint="cs"/>
          <w:bCs/>
          <w:spacing w:val="20"/>
          <w:kern w:val="28"/>
          <w:szCs w:val="32"/>
          <w:rtl/>
        </w:rPr>
        <w:t>פסק דין</w:t>
      </w:r>
    </w:p>
    <w:p w14:paraId="60E3699F" w14:textId="14ABF103" w:rsidR="00D2282D" w:rsidRPr="00D2282D" w:rsidRDefault="00D2282D" w:rsidP="00101D87">
      <w:pPr>
        <w:pStyle w:val="ad"/>
        <w:rPr>
          <w:rFonts w:ascii="Aptos" w:hAnsi="Aptos"/>
          <w:kern w:val="2"/>
          <w:rtl/>
          <w14:ligatures w14:val="standardContextual"/>
        </w:rPr>
      </w:pPr>
      <w:r w:rsidRPr="00D2282D">
        <w:rPr>
          <w:kern w:val="28"/>
          <w:rtl/>
          <w14:ligatures w14:val="standardContextual"/>
        </w:rPr>
        <w:t>בפני בית הדין תביעת האישה לבעלות מחצית הקומה השנייה בדירת הצדדים שברחוב</w:t>
      </w:r>
      <w:r w:rsidR="00D83DAA">
        <w:rPr>
          <w:rFonts w:hint="cs"/>
          <w:kern w:val="28"/>
          <w:rtl/>
          <w14:ligatures w14:val="standardContextual"/>
        </w:rPr>
        <w:t xml:space="preserve"> [ה']</w:t>
      </w:r>
      <w:r w:rsidR="00101D87">
        <w:rPr>
          <w:rFonts w:hint="cs"/>
          <w:kern w:val="28"/>
          <w:rtl/>
          <w14:ligatures w14:val="standardContextual"/>
        </w:rPr>
        <w:t xml:space="preserve"> </w:t>
      </w:r>
      <w:r w:rsidRPr="00D2282D">
        <w:rPr>
          <w:kern w:val="28"/>
          <w:rtl/>
          <w14:ligatures w14:val="standardContextual"/>
        </w:rPr>
        <w:t>ב</w:t>
      </w:r>
      <w:r w:rsidR="00D83DAA">
        <w:rPr>
          <w:rFonts w:hint="cs"/>
          <w:kern w:val="28"/>
          <w:rtl/>
          <w14:ligatures w14:val="standardContextual"/>
        </w:rPr>
        <w:t>עיר [</w:t>
      </w:r>
      <w:r w:rsidRPr="00D2282D">
        <w:rPr>
          <w:kern w:val="28"/>
          <w:rtl/>
          <w14:ligatures w14:val="standardContextual"/>
        </w:rPr>
        <w:t>ה</w:t>
      </w:r>
      <w:r w:rsidR="00101D87">
        <w:rPr>
          <w:rFonts w:hint="cs"/>
          <w:kern w:val="28"/>
          <w:rtl/>
          <w14:ligatures w14:val="standardContextual"/>
        </w:rPr>
        <w:t>'</w:t>
      </w:r>
      <w:r w:rsidR="00D83DAA">
        <w:rPr>
          <w:rFonts w:hint="cs"/>
          <w:kern w:val="28"/>
          <w:rtl/>
          <w14:ligatures w14:val="standardContextual"/>
        </w:rPr>
        <w:t>]</w:t>
      </w:r>
      <w:r w:rsidRPr="00D2282D">
        <w:rPr>
          <w:kern w:val="28"/>
          <w:rtl/>
          <w14:ligatures w14:val="standardContextual"/>
        </w:rPr>
        <w:t>.</w:t>
      </w:r>
    </w:p>
    <w:p w14:paraId="0F57DE11" w14:textId="77777777" w:rsidR="00D2282D" w:rsidRPr="00D2282D" w:rsidRDefault="00D2282D" w:rsidP="00101D87">
      <w:pPr>
        <w:pStyle w:val="ae"/>
        <w:rPr>
          <w:rFonts w:eastAsia="Times New Roman"/>
          <w:sz w:val="28"/>
          <w:lang w:eastAsia="he-IL"/>
          <w14:ligatures w14:val="standardContextual"/>
        </w:rPr>
      </w:pPr>
      <w:r w:rsidRPr="00D2282D">
        <w:rPr>
          <w:rFonts w:eastAsia="Times New Roman"/>
          <w:sz w:val="28"/>
          <w:rtl/>
          <w:lang w:eastAsia="he-IL"/>
          <w14:ligatures w14:val="standardContextual"/>
        </w:rPr>
        <w:t xml:space="preserve">העובדות </w:t>
      </w:r>
      <w:r w:rsidRPr="00101D87">
        <w:rPr>
          <w:rtl/>
          <w:lang w:eastAsia="he-IL"/>
        </w:rPr>
        <w:t>הרלוונטיות</w:t>
      </w:r>
      <w:r w:rsidRPr="00D2282D">
        <w:rPr>
          <w:rFonts w:eastAsia="Times New Roman"/>
          <w:sz w:val="28"/>
          <w:rtl/>
          <w:lang w:eastAsia="he-IL"/>
          <w14:ligatures w14:val="standardContextual"/>
        </w:rPr>
        <w:t xml:space="preserve"> לפסק הדין הינן כדלהלן:</w:t>
      </w:r>
    </w:p>
    <w:p w14:paraId="2AF949C8" w14:textId="77777777" w:rsidR="00101D87" w:rsidRDefault="00D2282D" w:rsidP="00101D87">
      <w:pPr>
        <w:pStyle w:val="a8"/>
        <w:numPr>
          <w:ilvl w:val="0"/>
          <w:numId w:val="11"/>
        </w:numPr>
        <w:rPr>
          <w:lang w:eastAsia="he-IL"/>
        </w:rPr>
      </w:pPr>
      <w:r w:rsidRPr="00D2282D">
        <w:rPr>
          <w:rtl/>
          <w:lang w:eastAsia="he-IL"/>
        </w:rPr>
        <w:t>הצדדים נישאו בשנת 1974 והתגרשו בתאריך 9</w:t>
      </w:r>
      <w:r w:rsidR="00101D87">
        <w:rPr>
          <w:rFonts w:hint="cs"/>
          <w:rtl/>
          <w:lang w:eastAsia="he-IL"/>
        </w:rPr>
        <w:t>.</w:t>
      </w:r>
      <w:r w:rsidRPr="00D2282D">
        <w:rPr>
          <w:rtl/>
          <w:lang w:eastAsia="he-IL"/>
        </w:rPr>
        <w:t>11</w:t>
      </w:r>
      <w:r w:rsidR="00101D87">
        <w:rPr>
          <w:rFonts w:hint="cs"/>
          <w:rtl/>
          <w:lang w:eastAsia="he-IL"/>
        </w:rPr>
        <w:t>.</w:t>
      </w:r>
      <w:r w:rsidRPr="00D2282D">
        <w:rPr>
          <w:rtl/>
          <w:lang w:eastAsia="he-IL"/>
        </w:rPr>
        <w:t>89.</w:t>
      </w:r>
    </w:p>
    <w:p w14:paraId="128EF9DD" w14:textId="77777777" w:rsidR="00101D87" w:rsidRPr="00101D87" w:rsidRDefault="00D2282D" w:rsidP="00101D87">
      <w:pPr>
        <w:pStyle w:val="a8"/>
        <w:numPr>
          <w:ilvl w:val="0"/>
          <w:numId w:val="11"/>
        </w:numPr>
        <w:rPr>
          <w:lang w:eastAsia="he-IL"/>
        </w:rPr>
      </w:pPr>
      <w:r w:rsidRPr="00101D87">
        <w:rPr>
          <w:rFonts w:eastAsia="Times New Roman"/>
          <w:kern w:val="28"/>
          <w:sz w:val="28"/>
          <w:rtl/>
          <w:lang w:eastAsia="he-IL"/>
          <w14:ligatures w14:val="standardContextual"/>
        </w:rPr>
        <w:t>עובר לגירושין אושר הסכם גירושין בו נקבעו בין השאר הוראות בדבר בית המגורים של הצדדים, שהיה אז בן קומה אחת, נקבע בהסכם כי האישה רשאית להתגורר בבית עד שתרצה למוכרו או עד שתינשא לגבר אחר.</w:t>
      </w:r>
    </w:p>
    <w:p w14:paraId="0441C1C2" w14:textId="77777777" w:rsidR="00101D87" w:rsidRPr="00101D87" w:rsidRDefault="00D2282D" w:rsidP="00101D87">
      <w:pPr>
        <w:pStyle w:val="a8"/>
        <w:numPr>
          <w:ilvl w:val="0"/>
          <w:numId w:val="11"/>
        </w:numPr>
        <w:rPr>
          <w:lang w:eastAsia="he-IL"/>
        </w:rPr>
      </w:pPr>
      <w:r w:rsidRPr="00101D87">
        <w:rPr>
          <w:rFonts w:eastAsia="Times New Roman"/>
          <w:kern w:val="28"/>
          <w:sz w:val="28"/>
          <w:rtl/>
          <w:lang w:eastAsia="he-IL"/>
          <w14:ligatures w14:val="standardContextual"/>
        </w:rPr>
        <w:t>הצדדים חזרו לחיות יחד לאחר סידור הגט, מיד לאחריו או במועד סמוך לו, וכך חיו יחד בבית וגידלו את הבנות המשותפות במשך כל השנים, האיש אף פרנס את האישה באופן קבוע כהודאתו בדיון.</w:t>
      </w:r>
    </w:p>
    <w:p w14:paraId="3A181FA2" w14:textId="07BDD693" w:rsidR="00101D87" w:rsidRPr="00101D87" w:rsidRDefault="00D2282D" w:rsidP="00101D87">
      <w:pPr>
        <w:pStyle w:val="a8"/>
        <w:numPr>
          <w:ilvl w:val="0"/>
          <w:numId w:val="11"/>
        </w:numPr>
        <w:rPr>
          <w:lang w:eastAsia="he-IL"/>
        </w:rPr>
      </w:pPr>
      <w:r w:rsidRPr="00101D87">
        <w:rPr>
          <w:rFonts w:eastAsia="Times New Roman"/>
          <w:kern w:val="28"/>
          <w:sz w:val="28"/>
          <w:rtl/>
          <w:lang w:eastAsia="he-IL"/>
          <w14:ligatures w14:val="standardContextual"/>
        </w:rPr>
        <w:t>בשנת 2009 הוגשה בקשה למתן היתר בניה לקומה נוספת, בקשה שאושרה בסופו של דבר</w:t>
      </w:r>
      <w:r w:rsidR="00101D87" w:rsidRPr="00101D87">
        <w:rPr>
          <w:rFonts w:eastAsia="Times New Roman" w:hint="cs"/>
          <w:kern w:val="28"/>
          <w:sz w:val="28"/>
          <w:rtl/>
          <w:lang w:eastAsia="he-IL"/>
          <w14:ligatures w14:val="standardContextual"/>
        </w:rPr>
        <w:t>,</w:t>
      </w:r>
      <w:r w:rsidRPr="00101D87">
        <w:rPr>
          <w:rFonts w:eastAsia="Times New Roman"/>
          <w:kern w:val="28"/>
          <w:sz w:val="28"/>
          <w:rtl/>
          <w:lang w:eastAsia="he-IL"/>
          <w14:ligatures w14:val="standardContextual"/>
        </w:rPr>
        <w:t xml:space="preserve"> ואכן האיש בנה מכספו קומה נוספת, בה שכנו עסקיו לרבות אולפן שידור ועסקים נוספים, קומה זו לא </w:t>
      </w:r>
      <w:r w:rsidR="00D83DAA">
        <w:rPr>
          <w:rFonts w:eastAsia="Times New Roman" w:hint="cs"/>
          <w:kern w:val="28"/>
          <w:sz w:val="28"/>
          <w:rtl/>
          <w:lang w:eastAsia="he-IL"/>
          <w14:ligatures w14:val="standardContextual"/>
        </w:rPr>
        <w:t>שימשה ל</w:t>
      </w:r>
      <w:r w:rsidRPr="00101D87">
        <w:rPr>
          <w:rFonts w:eastAsia="Times New Roman"/>
          <w:kern w:val="28"/>
          <w:sz w:val="28"/>
          <w:rtl/>
          <w:lang w:eastAsia="he-IL"/>
          <w14:ligatures w14:val="standardContextual"/>
        </w:rPr>
        <w:t xml:space="preserve">מגורים אלא </w:t>
      </w:r>
      <w:r w:rsidR="00D83DAA">
        <w:rPr>
          <w:rFonts w:eastAsia="Times New Roman" w:hint="cs"/>
          <w:kern w:val="28"/>
          <w:sz w:val="28"/>
          <w:rtl/>
          <w:lang w:eastAsia="he-IL"/>
          <w14:ligatures w14:val="standardContextual"/>
        </w:rPr>
        <w:t>ל</w:t>
      </w:r>
      <w:r w:rsidRPr="00101D87">
        <w:rPr>
          <w:rFonts w:eastAsia="Times New Roman"/>
          <w:kern w:val="28"/>
          <w:sz w:val="28"/>
          <w:rtl/>
          <w:lang w:eastAsia="he-IL"/>
          <w14:ligatures w14:val="standardContextual"/>
        </w:rPr>
        <w:t>עסקים</w:t>
      </w:r>
      <w:r w:rsidR="00D83DAA">
        <w:rPr>
          <w:rFonts w:eastAsia="Times New Roman" w:hint="cs"/>
          <w:kern w:val="28"/>
          <w:sz w:val="28"/>
          <w:rtl/>
          <w:lang w:eastAsia="he-IL"/>
          <w14:ligatures w14:val="standardContextual"/>
        </w:rPr>
        <w:t xml:space="preserve"> בלבד</w:t>
      </w:r>
      <w:r w:rsidRPr="00101D87">
        <w:rPr>
          <w:rFonts w:eastAsia="Times New Roman"/>
          <w:kern w:val="28"/>
          <w:sz w:val="28"/>
          <w:rtl/>
          <w:lang w:eastAsia="he-IL"/>
          <w14:ligatures w14:val="standardContextual"/>
        </w:rPr>
        <w:t>.</w:t>
      </w:r>
    </w:p>
    <w:p w14:paraId="4ADBE13B" w14:textId="77777777" w:rsidR="00101D87" w:rsidRPr="00101D87" w:rsidRDefault="00D2282D" w:rsidP="00101D87">
      <w:pPr>
        <w:pStyle w:val="a8"/>
        <w:numPr>
          <w:ilvl w:val="0"/>
          <w:numId w:val="11"/>
        </w:numPr>
        <w:rPr>
          <w:lang w:eastAsia="he-IL"/>
        </w:rPr>
      </w:pPr>
      <w:r w:rsidRPr="00101D87">
        <w:rPr>
          <w:rFonts w:eastAsia="Times New Roman"/>
          <w:kern w:val="28"/>
          <w:sz w:val="28"/>
          <w:rtl/>
          <w:lang w:eastAsia="he-IL"/>
          <w14:ligatures w14:val="standardContextual"/>
        </w:rPr>
        <w:t>הגישה לקומה השנייה הינה מתוך הבית באמצעות מדרגות וכן קיימת כניסה חיצונית נוספת מהרחוב.</w:t>
      </w:r>
    </w:p>
    <w:p w14:paraId="134A02D1" w14:textId="10760534" w:rsidR="00101D87" w:rsidRPr="00101D87" w:rsidRDefault="00D2282D" w:rsidP="00101D87">
      <w:pPr>
        <w:pStyle w:val="a8"/>
        <w:numPr>
          <w:ilvl w:val="0"/>
          <w:numId w:val="11"/>
        </w:numPr>
        <w:rPr>
          <w:lang w:eastAsia="he-IL"/>
        </w:rPr>
      </w:pPr>
      <w:r w:rsidRPr="00101D87">
        <w:rPr>
          <w:rFonts w:eastAsia="Times New Roman"/>
          <w:kern w:val="28"/>
          <w:sz w:val="28"/>
          <w:rtl/>
          <w:lang w:eastAsia="he-IL"/>
          <w14:ligatures w14:val="standardContextual"/>
        </w:rPr>
        <w:t>בתאריך 4</w:t>
      </w:r>
      <w:r w:rsidR="00101D87" w:rsidRPr="00101D87">
        <w:rPr>
          <w:rFonts w:eastAsia="Times New Roman" w:hint="cs"/>
          <w:kern w:val="28"/>
          <w:sz w:val="28"/>
          <w:rtl/>
          <w:lang w:eastAsia="he-IL"/>
          <w14:ligatures w14:val="standardContextual"/>
        </w:rPr>
        <w:t>.</w:t>
      </w:r>
      <w:r w:rsidRPr="00101D87">
        <w:rPr>
          <w:rFonts w:eastAsia="Times New Roman"/>
          <w:kern w:val="28"/>
          <w:sz w:val="28"/>
          <w:rtl/>
          <w:lang w:eastAsia="he-IL"/>
          <w14:ligatures w14:val="standardContextual"/>
        </w:rPr>
        <w:t>4</w:t>
      </w:r>
      <w:r w:rsidR="00101D87" w:rsidRPr="00101D87">
        <w:rPr>
          <w:rFonts w:eastAsia="Times New Roman" w:hint="cs"/>
          <w:kern w:val="28"/>
          <w:sz w:val="28"/>
          <w:rtl/>
          <w:lang w:eastAsia="he-IL"/>
          <w14:ligatures w14:val="standardContextual"/>
        </w:rPr>
        <w:t>.2016</w:t>
      </w:r>
      <w:r w:rsidRPr="00101D87">
        <w:rPr>
          <w:rFonts w:eastAsia="Times New Roman"/>
          <w:kern w:val="28"/>
          <w:sz w:val="28"/>
          <w:rtl/>
          <w:lang w:eastAsia="he-IL"/>
          <w14:ligatures w14:val="standardContextual"/>
        </w:rPr>
        <w:t xml:space="preserve"> נישאו הצדדים בשנית באופן אזרחי ובתאריך 20</w:t>
      </w:r>
      <w:r w:rsidR="00101D87" w:rsidRPr="00101D87">
        <w:rPr>
          <w:rFonts w:eastAsia="Times New Roman" w:hint="cs"/>
          <w:kern w:val="28"/>
          <w:sz w:val="28"/>
          <w:rtl/>
          <w:lang w:eastAsia="he-IL"/>
          <w14:ligatures w14:val="standardContextual"/>
        </w:rPr>
        <w:t>.</w:t>
      </w:r>
      <w:r w:rsidRPr="00101D87">
        <w:rPr>
          <w:rFonts w:eastAsia="Times New Roman"/>
          <w:kern w:val="28"/>
          <w:sz w:val="28"/>
          <w:rtl/>
          <w:lang w:eastAsia="he-IL"/>
          <w14:ligatures w14:val="standardContextual"/>
        </w:rPr>
        <w:t>2</w:t>
      </w:r>
      <w:r w:rsidR="00101D87" w:rsidRPr="00101D87">
        <w:rPr>
          <w:rFonts w:eastAsia="Times New Roman" w:hint="cs"/>
          <w:kern w:val="28"/>
          <w:sz w:val="28"/>
          <w:rtl/>
          <w:lang w:eastAsia="he-IL"/>
          <w14:ligatures w14:val="standardContextual"/>
        </w:rPr>
        <w:t>.</w:t>
      </w:r>
      <w:r w:rsidRPr="00101D87">
        <w:rPr>
          <w:rFonts w:eastAsia="Times New Roman"/>
          <w:kern w:val="28"/>
          <w:sz w:val="28"/>
          <w:rtl/>
          <w:lang w:eastAsia="he-IL"/>
          <w14:ligatures w14:val="standardContextual"/>
        </w:rPr>
        <w:t>23 סודר גט לאחר תביעת גירושין כרוכה שהאישה הגישה.</w:t>
      </w:r>
    </w:p>
    <w:p w14:paraId="09806A48" w14:textId="656CA02E" w:rsidR="00D2282D" w:rsidRPr="00101D87" w:rsidRDefault="00D2282D" w:rsidP="00101D87">
      <w:pPr>
        <w:pStyle w:val="a8"/>
        <w:numPr>
          <w:ilvl w:val="0"/>
          <w:numId w:val="11"/>
        </w:numPr>
        <w:rPr>
          <w:lang w:eastAsia="he-IL"/>
        </w:rPr>
      </w:pPr>
      <w:r w:rsidRPr="00101D87">
        <w:rPr>
          <w:rFonts w:eastAsia="Times New Roman"/>
          <w:kern w:val="28"/>
          <w:sz w:val="28"/>
          <w:rtl/>
          <w:lang w:eastAsia="he-IL"/>
          <w14:ligatures w14:val="standardContextual"/>
        </w:rPr>
        <w:t>לאחר מכן התקיים דיון בתביעת האישה לבעלות שווה גם בקומה העליונה, הוגשו סיכומי הצדדים והגיעה עת הכרעה.</w:t>
      </w:r>
    </w:p>
    <w:p w14:paraId="43E3CE9B" w14:textId="77777777" w:rsidR="00720CBB" w:rsidRDefault="00720CBB" w:rsidP="00D4417A">
      <w:pPr>
        <w:pStyle w:val="ae"/>
        <w:rPr>
          <w:rFonts w:eastAsia="Times New Roman"/>
          <w:sz w:val="28"/>
          <w:rtl/>
          <w:lang w:eastAsia="he-IL"/>
          <w14:ligatures w14:val="standardContextual"/>
        </w:rPr>
      </w:pPr>
    </w:p>
    <w:p w14:paraId="386B6FFD" w14:textId="18DD7B81"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 xml:space="preserve">האישה טוענת כי הואיל ואין עוררין על העובדה שהצדדים התגוררו יחד משך כל השנים, לפיכך מדובר הלכה למעשה </w:t>
      </w:r>
      <w:r w:rsidR="00D83DAA">
        <w:rPr>
          <w:rFonts w:eastAsia="Times New Roman" w:hint="cs"/>
          <w:sz w:val="28"/>
          <w:rtl/>
          <w:lang w:eastAsia="he-IL"/>
          <w14:ligatures w14:val="standardContextual"/>
        </w:rPr>
        <w:t>ש</w:t>
      </w:r>
      <w:r w:rsidRPr="00D4417A">
        <w:rPr>
          <w:rFonts w:eastAsia="Times New Roman"/>
          <w:sz w:val="28"/>
          <w:rtl/>
          <w:lang w:eastAsia="he-IL"/>
          <w14:ligatures w14:val="standardContextual"/>
        </w:rPr>
        <w:t>הגירושין שהתקיימו בשנת 89' הינם פיקטיביים, ובכדי להבריח את הבית מחוב שהיה קיים לדבריה לעיריית רעננה, ובנוסף, הסכם הגירושין שאושר, אשר נתן לה כאמור זכות מגורים ממושכת, מלמד כי הגירושין לא היו אמיתיים אלא כלפי חוץ.</w:t>
      </w:r>
    </w:p>
    <w:p w14:paraId="0CB3FD47" w14:textId="03D7BCE3" w:rsidR="00D2282D" w:rsidRPr="00D4417A" w:rsidRDefault="00D2282D" w:rsidP="00D4417A">
      <w:pPr>
        <w:pStyle w:val="ae"/>
        <w:rPr>
          <w:rFonts w:eastAsia="Times New Roman"/>
          <w:sz w:val="28"/>
          <w:lang w:eastAsia="he-IL"/>
          <w14:ligatures w14:val="standardContextual"/>
        </w:rPr>
      </w:pPr>
      <w:r w:rsidRPr="00D4417A">
        <w:rPr>
          <w:rFonts w:eastAsia="Times New Roman"/>
          <w:sz w:val="28"/>
          <w:rtl/>
          <w:lang w:eastAsia="he-IL"/>
          <w14:ligatures w14:val="standardContextual"/>
        </w:rPr>
        <w:lastRenderedPageBreak/>
        <w:t>זאת ועוד, חשבון הארנונה על כל שטחו של הנכס לרבות הקומה השנייה, הנו על שם שני הצדדים, מה שמלמד כי הרשויות ראו בהם בעלים משותפים באופן שווה על כל הנכס.</w:t>
      </w:r>
    </w:p>
    <w:p w14:paraId="70084164" w14:textId="77777777"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לטענתה, הצדדים היו "ידועים בציבור" מעת הגירושין ועד לנישואין החוזרים, שכן לדבריה ניהלו משק בית משותף וכך הם היו ידועים לכל כזוג לכל דבר וענין.</w:t>
      </w:r>
    </w:p>
    <w:p w14:paraId="07C186CD" w14:textId="77777777"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עוד טוענת האישה כי הקומה השנייה נשענת כידוע על הקומה הראשונה ומכוחה היא קיימת ועל כן היא גם בבעלותה.</w:t>
      </w:r>
    </w:p>
    <w:p w14:paraId="265D287D" w14:textId="77777777"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כמו כן, הואיל ועד לגירושין השניים לא הופעל מנגנון פירוק השיתוף שבהסכם הגירושין משנת 89', משמע כי האיש ראה בה שותפה מלאה בנכס, לרבות בקומה העליונה.</w:t>
      </w:r>
    </w:p>
    <w:p w14:paraId="5EE6F7DC" w14:textId="77777777"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עוד טוענת, כי בשנת 2018 ערכו בני הזוג צוואה הדדית, בה הם מורישים זה לזה את מלוא רכושם, לטענתה אפשר לראות בצוואה זו "הקנאה מחיים" של חלקו של האיש בנכס לידיה, לרבות הקומה העליונה.</w:t>
      </w:r>
    </w:p>
    <w:p w14:paraId="5DBF9274" w14:textId="71AB602C"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האיש טוען כי הוא בנה את הקומה העליונה כולה מכספו והאישה אינה חולקת על כך</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הארנונה שולמה כל השנים מכספו ובהסכם הגירושין שאושר לא נקבעה כל בעלות לאישה מעבר למחצית הקומה התחתונה שהייתה קיימת אז.</w:t>
      </w:r>
    </w:p>
    <w:p w14:paraId="19625CB0" w14:textId="3F58D960"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הגירושין בשנת 89' היו גירושין גמורים לדבריו</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הסיבה שביה"ד סידר גט בשנת 23' הייתה בגין הנישואין האזרחיים ורק במעמד של "גט לחומרה", אך מבחינה פורמלית, הצדדים היו גרושים משנת 89'.</w:t>
      </w:r>
    </w:p>
    <w:p w14:paraId="6D8A78AB" w14:textId="3CD58853" w:rsidR="00D2282D" w:rsidRPr="00D4417A" w:rsidRDefault="00D2282D" w:rsidP="00D4417A">
      <w:pPr>
        <w:pStyle w:val="ae"/>
        <w:rPr>
          <w:rFonts w:eastAsia="Times New Roman"/>
          <w:sz w:val="28"/>
          <w:rtl/>
          <w:lang w:eastAsia="he-IL"/>
          <w14:ligatures w14:val="standardContextual"/>
        </w:rPr>
      </w:pPr>
      <w:r w:rsidRPr="00D4417A">
        <w:rPr>
          <w:rFonts w:eastAsia="Times New Roman"/>
          <w:sz w:val="28"/>
          <w:rtl/>
          <w:lang w:eastAsia="he-IL"/>
          <w14:ligatures w14:val="standardContextual"/>
        </w:rPr>
        <w:t>הוא בנה לבדו ומכספו את הקומה השנייה אשר שימשה כולה למשלח ידו ואין לאישה שום שייכות ובעלות בה</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בין הצדדים שררה הפרדה </w:t>
      </w:r>
      <w:proofErr w:type="spellStart"/>
      <w:r w:rsidRPr="00D4417A">
        <w:rPr>
          <w:rFonts w:eastAsia="Times New Roman"/>
          <w:sz w:val="28"/>
          <w:rtl/>
          <w:lang w:eastAsia="he-IL"/>
          <w14:ligatures w14:val="standardContextual"/>
        </w:rPr>
        <w:t>רכושית</w:t>
      </w:r>
      <w:proofErr w:type="spellEnd"/>
      <w:r w:rsidRPr="00D4417A">
        <w:rPr>
          <w:rFonts w:eastAsia="Times New Roman"/>
          <w:sz w:val="28"/>
          <w:rtl/>
          <w:lang w:eastAsia="he-IL"/>
          <w14:ligatures w14:val="standardContextual"/>
        </w:rPr>
        <w:t xml:space="preserve"> משך כל שנותיהם</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לרבות מאז הגירושין בשנת 89'</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והאישה לא הייתה שותפה לו מבחינה </w:t>
      </w:r>
      <w:proofErr w:type="spellStart"/>
      <w:r w:rsidRPr="00D4417A">
        <w:rPr>
          <w:rFonts w:eastAsia="Times New Roman"/>
          <w:sz w:val="28"/>
          <w:rtl/>
          <w:lang w:eastAsia="he-IL"/>
          <w14:ligatures w14:val="standardContextual"/>
        </w:rPr>
        <w:t>רכושית</w:t>
      </w:r>
      <w:proofErr w:type="spellEnd"/>
      <w:r w:rsidRPr="00D4417A">
        <w:rPr>
          <w:rFonts w:eastAsia="Times New Roman"/>
          <w:sz w:val="28"/>
          <w:rtl/>
          <w:lang w:eastAsia="he-IL"/>
          <w14:ligatures w14:val="standardContextual"/>
        </w:rPr>
        <w:t xml:space="preserve"> בשום אופן</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בידיו הוכחות רבות כי הוא זה שעסק באופן מוחלט בבניית הקומה העליונה</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לפיכך</w:t>
      </w:r>
      <w:r w:rsidR="004E057B">
        <w:rPr>
          <w:rFonts w:eastAsia="Times New Roman" w:hint="cs"/>
          <w:sz w:val="28"/>
          <w:rtl/>
          <w:lang w:eastAsia="he-IL"/>
          <w14:ligatures w14:val="standardContextual"/>
        </w:rPr>
        <w:t>,</w:t>
      </w:r>
      <w:r w:rsidRPr="00D4417A">
        <w:rPr>
          <w:rFonts w:eastAsia="Times New Roman"/>
          <w:sz w:val="28"/>
          <w:rtl/>
          <w:lang w:eastAsia="he-IL"/>
          <w14:ligatures w14:val="standardContextual"/>
        </w:rPr>
        <w:t xml:space="preserve"> מבקש לקבוע כי הוא הבעלים הבלעדי של הקומה העליונה.</w:t>
      </w:r>
    </w:p>
    <w:p w14:paraId="082ADE3F" w14:textId="77777777" w:rsidR="00D2282D" w:rsidRDefault="00D2282D" w:rsidP="00D2282D">
      <w:pPr>
        <w:spacing w:before="120" w:after="120" w:line="276" w:lineRule="auto"/>
        <w:jc w:val="left"/>
        <w:rPr>
          <w:rFonts w:eastAsia="Times New Roman"/>
          <w:b/>
          <w:bCs/>
          <w:kern w:val="28"/>
          <w:sz w:val="28"/>
          <w:u w:val="single"/>
          <w:rtl/>
          <w:lang w:eastAsia="he-IL"/>
          <w14:ligatures w14:val="standardContextual"/>
        </w:rPr>
      </w:pPr>
    </w:p>
    <w:p w14:paraId="6E1B27C8" w14:textId="501E11A9" w:rsidR="00D2282D" w:rsidRPr="00D4417A" w:rsidRDefault="00D2282D" w:rsidP="00D4417A">
      <w:pPr>
        <w:pStyle w:val="-0"/>
        <w:rPr>
          <w:rtl/>
          <w:lang w:eastAsia="he-IL"/>
        </w:rPr>
      </w:pPr>
      <w:r w:rsidRPr="00D4417A">
        <w:rPr>
          <w:rtl/>
          <w:lang w:eastAsia="he-IL"/>
        </w:rPr>
        <w:t>דיון והכרעה</w:t>
      </w:r>
    </w:p>
    <w:p w14:paraId="653C36CF" w14:textId="168FE034" w:rsidR="00A40442" w:rsidRPr="00A40442" w:rsidRDefault="00A40442" w:rsidP="00D4417A">
      <w:pPr>
        <w:pStyle w:val="ad"/>
        <w:rPr>
          <w:kern w:val="28"/>
          <w:rtl/>
          <w14:ligatures w14:val="standardContextual"/>
        </w:rPr>
      </w:pPr>
      <w:r w:rsidRPr="00A40442">
        <w:rPr>
          <w:kern w:val="28"/>
          <w:rtl/>
          <w14:ligatures w14:val="standardContextual"/>
        </w:rPr>
        <w:t>העובדות כאמור אינן שנויות במחלוקת</w:t>
      </w:r>
      <w:r w:rsidR="004E057B">
        <w:rPr>
          <w:rFonts w:hint="cs"/>
          <w:kern w:val="28"/>
          <w:rtl/>
          <w14:ligatures w14:val="standardContextual"/>
        </w:rPr>
        <w:t>.</w:t>
      </w:r>
      <w:r w:rsidRPr="00A40442">
        <w:rPr>
          <w:kern w:val="28"/>
          <w:rtl/>
          <w14:ligatures w14:val="standardContextual"/>
        </w:rPr>
        <w:t xml:space="preserve"> לפיכך, אין צורך להידרש להן בשלב הזה.</w:t>
      </w:r>
    </w:p>
    <w:p w14:paraId="520F880D" w14:textId="2FDE35FA" w:rsidR="00A40442" w:rsidRPr="00A40442" w:rsidRDefault="00A40442" w:rsidP="00D4417A">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אין חולק כי הקומה התחתונה הינה בבעלות משותפת</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אכן, אין להקנות זכות לאישה בקומה העליונה בגין פירות נכסי איזון, שכן אין מדובר בפירות הגדלים מעצמם כגון השבחת נכס</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מדובר בהשבחה שנעשתה על ידי אחד הצדדים מכספו וממאמץ אישי שלו</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ויודגש, הבנייה וההשבחה נעשו בזמן שאינם נשואים ולא חלו עליהם בעת ההיא הוראות חוק יחסי ממון והפסיקה הרלוונטית.</w:t>
      </w:r>
    </w:p>
    <w:p w14:paraId="38E3474B" w14:textId="71DADEC6" w:rsidR="00A40442" w:rsidRPr="00A40442" w:rsidRDefault="00A40442" w:rsidP="00D4417A">
      <w:pPr>
        <w:pStyle w:val="ae"/>
        <w:rPr>
          <w:rFonts w:eastAsia="Times New Roman"/>
          <w:sz w:val="28"/>
          <w:lang w:eastAsia="he-IL"/>
          <w14:ligatures w14:val="standardContextual"/>
        </w:rPr>
      </w:pPr>
      <w:r w:rsidRPr="00A40442">
        <w:rPr>
          <w:rFonts w:eastAsia="Times New Roman"/>
          <w:sz w:val="28"/>
          <w:rtl/>
          <w:lang w:eastAsia="he-IL"/>
          <w14:ligatures w14:val="standardContextual"/>
        </w:rPr>
        <w:t>בפסק דין שנכתב על ידי אב"ד ההרכב בתיק</w:t>
      </w:r>
      <w:r w:rsidRPr="00D4417A">
        <w:rPr>
          <w:rFonts w:ascii="FrankRuehl" w:eastAsia="Times New Roman" w:hAnsi="FrankRuehl"/>
          <w:sz w:val="28"/>
          <w:lang w:eastAsia="he-IL"/>
          <w14:ligatures w14:val="standardContextual"/>
        </w:rPr>
        <w:t>895985/6</w:t>
      </w:r>
      <w:r w:rsidRPr="00A40442">
        <w:rPr>
          <w:rFonts w:eastAsia="Times New Roman"/>
          <w:sz w:val="28"/>
          <w:lang w:eastAsia="he-IL"/>
          <w14:ligatures w14:val="standardContextual"/>
        </w:rPr>
        <w:t xml:space="preserve"> </w:t>
      </w:r>
      <w:r w:rsidRPr="00A40442">
        <w:rPr>
          <w:rFonts w:eastAsia="Times New Roman"/>
          <w:sz w:val="28"/>
          <w:rtl/>
          <w:lang w:eastAsia="he-IL"/>
          <w14:ligatures w14:val="standardContextual"/>
        </w:rPr>
        <w:t xml:space="preserve"> </w:t>
      </w:r>
      <w:r w:rsidR="00D4417A" w:rsidRPr="0041649A">
        <w:rPr>
          <w:rFonts w:eastAsia="Times New Roman" w:hint="cs"/>
          <w:sz w:val="28"/>
          <w:szCs w:val="24"/>
          <w:rtl/>
          <w:lang w:eastAsia="he-IL"/>
          <w14:ligatures w14:val="standardContextual"/>
        </w:rPr>
        <w:t>(</w:t>
      </w:r>
      <w:r w:rsidRPr="0041649A">
        <w:rPr>
          <w:rFonts w:eastAsia="Times New Roman"/>
          <w:sz w:val="28"/>
          <w:szCs w:val="24"/>
          <w:rtl/>
          <w:lang w:eastAsia="he-IL"/>
          <w14:ligatures w14:val="standardContextual"/>
        </w:rPr>
        <w:t>ביה"ד נתניה</w:t>
      </w:r>
      <w:r w:rsidR="00D4417A" w:rsidRPr="0041649A">
        <w:rPr>
          <w:rFonts w:eastAsia="Times New Roman" w:hint="cs"/>
          <w:sz w:val="28"/>
          <w:szCs w:val="24"/>
          <w:rtl/>
          <w:lang w:eastAsia="he-IL"/>
          <w14:ligatures w14:val="standardContextual"/>
        </w:rPr>
        <w:t>)</w:t>
      </w:r>
      <w:r w:rsidRPr="00A40442">
        <w:rPr>
          <w:rFonts w:eastAsia="Times New Roman"/>
          <w:sz w:val="28"/>
          <w:rtl/>
          <w:lang w:eastAsia="he-IL"/>
          <w14:ligatures w14:val="standardContextual"/>
        </w:rPr>
        <w:t xml:space="preserve"> נכתב בין השאר כדלהלן:</w:t>
      </w:r>
    </w:p>
    <w:p w14:paraId="6C76CD0F" w14:textId="7BE70A3F" w:rsidR="00D4417A" w:rsidRPr="00D4417A" w:rsidRDefault="00D61AF5" w:rsidP="00D4417A">
      <w:pPr>
        <w:pStyle w:val="a9"/>
        <w:rPr>
          <w:rtl/>
          <w:lang w:eastAsia="he-IL"/>
        </w:rPr>
      </w:pPr>
      <w:r>
        <w:rPr>
          <w:rFonts w:hint="cs"/>
          <w:rtl/>
          <w:lang w:eastAsia="he-IL"/>
        </w:rPr>
        <w:t>"</w:t>
      </w:r>
      <w:r w:rsidR="00A40442" w:rsidRPr="00D4417A">
        <w:rPr>
          <w:rtl/>
          <w:lang w:eastAsia="he-IL"/>
        </w:rPr>
        <w:t xml:space="preserve">[...] </w:t>
      </w:r>
    </w:p>
    <w:p w14:paraId="0232E9A8" w14:textId="74A15640" w:rsidR="00A40442" w:rsidRPr="00D4417A" w:rsidRDefault="00A40442" w:rsidP="00D4417A">
      <w:pPr>
        <w:pStyle w:val="a9"/>
        <w:rPr>
          <w:rtl/>
          <w:lang w:eastAsia="he-IL"/>
        </w:rPr>
      </w:pPr>
      <w:r w:rsidRPr="00D4417A">
        <w:rPr>
          <w:rtl/>
          <w:lang w:eastAsia="he-IL"/>
        </w:rPr>
        <w:t xml:space="preserve">ראה פסק דין של השופטת נ' מימון </w:t>
      </w:r>
      <w:r w:rsidRPr="0041649A">
        <w:rPr>
          <w:szCs w:val="24"/>
          <w:rtl/>
          <w:lang w:eastAsia="he-IL"/>
        </w:rPr>
        <w:t>(</w:t>
      </w:r>
      <w:proofErr w:type="spellStart"/>
      <w:r w:rsidRPr="0041649A">
        <w:rPr>
          <w:szCs w:val="24"/>
          <w:rtl/>
          <w:lang w:eastAsia="he-IL"/>
        </w:rPr>
        <w:t>תמ"ש</w:t>
      </w:r>
      <w:proofErr w:type="spellEnd"/>
      <w:r w:rsidRPr="0041649A">
        <w:rPr>
          <w:szCs w:val="24"/>
          <w:rtl/>
          <w:lang w:eastAsia="he-IL"/>
        </w:rPr>
        <w:t xml:space="preserve"> 021342/04)</w:t>
      </w:r>
      <w:r w:rsidRPr="00D4417A">
        <w:rPr>
          <w:rtl/>
          <w:lang w:eastAsia="he-IL"/>
        </w:rPr>
        <w:t xml:space="preserve">, וכן בכתב העת הפרקליט ל', תשל"ו, במאמרו של פרופ' ג' </w:t>
      </w:r>
      <w:proofErr w:type="spellStart"/>
      <w:r w:rsidRPr="00D4417A">
        <w:rPr>
          <w:rtl/>
          <w:lang w:eastAsia="he-IL"/>
        </w:rPr>
        <w:t>טדסקי</w:t>
      </w:r>
      <w:proofErr w:type="spellEnd"/>
      <w:r w:rsidRPr="00D4417A">
        <w:rPr>
          <w:rtl/>
          <w:lang w:eastAsia="he-IL"/>
        </w:rPr>
        <w:t xml:space="preserve"> "איזון משאבים בין בני הזוג".</w:t>
      </w:r>
    </w:p>
    <w:p w14:paraId="763A8A99" w14:textId="77777777" w:rsidR="00A40442" w:rsidRPr="00D4417A" w:rsidRDefault="00A40442" w:rsidP="00D4417A">
      <w:pPr>
        <w:pStyle w:val="a9"/>
        <w:rPr>
          <w:rtl/>
          <w:lang w:eastAsia="he-IL"/>
        </w:rPr>
      </w:pPr>
      <w:proofErr w:type="spellStart"/>
      <w:r w:rsidRPr="00D4417A">
        <w:rPr>
          <w:rtl/>
          <w:lang w:eastAsia="he-IL"/>
        </w:rPr>
        <w:lastRenderedPageBreak/>
        <w:t>יג</w:t>
      </w:r>
      <w:proofErr w:type="spellEnd"/>
      <w:r w:rsidRPr="00D4417A">
        <w:rPr>
          <w:rtl/>
          <w:lang w:eastAsia="he-IL"/>
        </w:rPr>
        <w:t>. אמנם קיים הבדל מהותי מאוד בין ההלכה של גביית חוב מנכסי הלווה שהושבחו על ידי הלוקח, לבין חוק איזון המשאבים:</w:t>
      </w:r>
    </w:p>
    <w:p w14:paraId="3EE4151B" w14:textId="77777777" w:rsidR="00A40442" w:rsidRPr="00D4417A" w:rsidRDefault="00A40442" w:rsidP="00D4417A">
      <w:pPr>
        <w:pStyle w:val="a9"/>
        <w:rPr>
          <w:rtl/>
          <w:lang w:eastAsia="he-IL"/>
        </w:rPr>
      </w:pPr>
      <w:r w:rsidRPr="00D4417A">
        <w:rPr>
          <w:rtl/>
          <w:lang w:eastAsia="he-IL"/>
        </w:rPr>
        <w:t>בעוד בדין בעל חוב שגובה מנכסי הלווה שנמכרו והושבחו על ידי הלוקח הנכס כבר היה משועבד למלווה משעת מעשה ההלוואה, וכך הלוקח השביח נכס כאשר למלווה יש כבר זיקה אליו; בחוק בסעיף 4 לחוק יחסי ממון איזון המשאבים בין בני זוג נקבע לגבי העדר תוצאות במשך הנישואין, כדלהלן:</w:t>
      </w:r>
    </w:p>
    <w:p w14:paraId="4F0A9196" w14:textId="77777777" w:rsidR="00A40442" w:rsidRPr="00D4417A" w:rsidRDefault="00A40442" w:rsidP="00D61AF5">
      <w:pPr>
        <w:pStyle w:val="a9"/>
        <w:ind w:left="1440"/>
        <w:rPr>
          <w:lang w:eastAsia="he-IL"/>
        </w:rPr>
      </w:pPr>
      <w:r w:rsidRPr="00D4417A">
        <w:rPr>
          <w:rtl/>
          <w:lang w:eastAsia="he-IL"/>
        </w:rPr>
        <w:t>"אין בכריתת הנישואין או בקיומם כשלעצמם כדי לפגוע בקניינם של בני הזוג, להקנות לאחד מהם זכויות בנכסי השני או להטיל עליו אחריות לחובות השני."</w:t>
      </w:r>
    </w:p>
    <w:p w14:paraId="63800D18" w14:textId="77777777" w:rsidR="00A40442" w:rsidRPr="00D4417A" w:rsidRDefault="00A40442" w:rsidP="00D4417A">
      <w:pPr>
        <w:pStyle w:val="a9"/>
        <w:rPr>
          <w:rtl/>
          <w:lang w:eastAsia="he-IL"/>
        </w:rPr>
      </w:pPr>
      <w:r w:rsidRPr="00D4417A">
        <w:rPr>
          <w:rtl/>
          <w:lang w:eastAsia="he-IL"/>
        </w:rPr>
        <w:t xml:space="preserve">ההוראות העולות מהסעיף הנ"ל – משמעותן שכל אחד מבני הזוג רשאי לבצע ברכושו פעולות כרצונו במשך כל תקופת הנישואין, ואין לבן הזוג השני כל זכות ברכוש זה, ומאחר שאין לו זכות, יכול בן זוגו </w:t>
      </w:r>
      <w:r w:rsidRPr="0041649A">
        <w:rPr>
          <w:szCs w:val="24"/>
          <w:rtl/>
          <w:lang w:eastAsia="he-IL"/>
        </w:rPr>
        <w:t>(בעל הרכוש)</w:t>
      </w:r>
      <w:r w:rsidRPr="00D4417A">
        <w:rPr>
          <w:rtl/>
          <w:lang w:eastAsia="he-IL"/>
        </w:rPr>
        <w:t xml:space="preserve"> 'לאכול' את כל ההשבחה שנוספה לרכוש, ובן הזוג השני לא יוכל בבוא העת לתבוע את מחצית משווי ההשבחה שנאכלה, כל עוד לא מדובר בהברחה.</w:t>
      </w:r>
    </w:p>
    <w:p w14:paraId="4283373F" w14:textId="77777777" w:rsidR="00A40442" w:rsidRPr="00D4417A" w:rsidRDefault="00A40442" w:rsidP="00D4417A">
      <w:pPr>
        <w:pStyle w:val="a9"/>
        <w:rPr>
          <w:rtl/>
          <w:lang w:eastAsia="he-IL"/>
        </w:rPr>
      </w:pPr>
      <w:r w:rsidRPr="00D4417A">
        <w:rPr>
          <w:rtl/>
          <w:lang w:eastAsia="he-IL"/>
        </w:rPr>
        <w:t>ברם, למרות הוראת הסעיף הנ"ל, כאשר מדובר על השבחה המוגדרת כנכס חיצוני שקיימת עם פקיעת הנישואין, יחולו עליה הוראות הסדר איזון המשאבים, מפני שהרציונל בחוק איזון המשאבים בין בני זוג נעוץ בכך, שאם ההשבחה נעשתה במאמץ משותף של שני בני הזוג – כאשר לולא המאמץ המשותף, ההשבחה לא הייתה באה לעולם – זהו הישג משותף של בני הזוג לצורך האיזון, ובוודאי אם ההשבחה נעשתה על ידי עבודתו של בן הזוג שאינו בעל הנכס, מגיעה לו מחצית השווי הכספי של ההשבחה.</w:t>
      </w:r>
    </w:p>
    <w:p w14:paraId="3EEB4A72" w14:textId="7AC9963A" w:rsidR="00A40442" w:rsidRPr="00D4417A" w:rsidRDefault="00A40442" w:rsidP="00D4417A">
      <w:pPr>
        <w:pStyle w:val="a9"/>
        <w:rPr>
          <w:rtl/>
          <w:lang w:eastAsia="he-IL"/>
        </w:rPr>
      </w:pPr>
      <w:r w:rsidRPr="00D4417A">
        <w:rPr>
          <w:rtl/>
          <w:lang w:eastAsia="he-IL"/>
        </w:rPr>
        <w:t xml:space="preserve">בית המשפט </w:t>
      </w:r>
      <w:r w:rsidRPr="0041649A">
        <w:rPr>
          <w:szCs w:val="24"/>
          <w:rtl/>
          <w:lang w:eastAsia="he-IL"/>
        </w:rPr>
        <w:t>(</w:t>
      </w:r>
      <w:proofErr w:type="spellStart"/>
      <w:r w:rsidRPr="0041649A">
        <w:rPr>
          <w:szCs w:val="24"/>
          <w:rtl/>
          <w:lang w:eastAsia="he-IL"/>
        </w:rPr>
        <w:t>בתמ"ש</w:t>
      </w:r>
      <w:proofErr w:type="spellEnd"/>
      <w:r w:rsidRPr="0041649A">
        <w:rPr>
          <w:szCs w:val="24"/>
          <w:rtl/>
          <w:lang w:eastAsia="he-IL"/>
        </w:rPr>
        <w:t xml:space="preserve"> 21342/04 הנ"ל)</w:t>
      </w:r>
      <w:r w:rsidRPr="00D4417A">
        <w:rPr>
          <w:rtl/>
          <w:lang w:eastAsia="he-IL"/>
        </w:rPr>
        <w:t xml:space="preserve"> הרחיק לכת וקבע כי עבודתו של כל אחד מבני הזוג במהלך הנישואין נחשבת למשאב משותף אשר פֵרות השקעתו יחולקו בין בני הזוג בחלקים שווים. ועל כן גם במקרים שבהם הושקעה עבודה ממשית על ידי בעל הנכס בלבד בתקופת הנישואין, ובעקבות ההשקעה הושבח הנכס, תיכלל ההשבחה באיזון הנכסים, למרות הפקעת גוף הנכס מהאיזון. אולם ברור שזאת דווקא בתוך תקופת הנישואין, שבה כל נכס שנוצר על ידי מי מהצדדים הינו בר איזון</w:t>
      </w:r>
      <w:r w:rsidR="004E057B">
        <w:rPr>
          <w:rFonts w:hint="cs"/>
          <w:rtl/>
          <w:lang w:eastAsia="he-IL"/>
        </w:rPr>
        <w:t>,</w:t>
      </w:r>
      <w:r w:rsidRPr="00D4417A">
        <w:rPr>
          <w:rtl/>
          <w:lang w:eastAsia="he-IL"/>
        </w:rPr>
        <w:t xml:space="preserve"> ולפיכך גם אם נוצר ביגיעתו האישית, הינו בר איזון.</w:t>
      </w:r>
    </w:p>
    <w:p w14:paraId="6393DA18" w14:textId="69811F9A" w:rsidR="00A40442" w:rsidRPr="00D4417A" w:rsidRDefault="00A40442" w:rsidP="00D4417A">
      <w:pPr>
        <w:pStyle w:val="a9"/>
        <w:rPr>
          <w:rtl/>
          <w:lang w:eastAsia="he-IL"/>
        </w:rPr>
      </w:pPr>
      <w:r w:rsidRPr="00D4417A">
        <w:rPr>
          <w:rtl/>
          <w:lang w:eastAsia="he-IL"/>
        </w:rPr>
        <w:t>[...]</w:t>
      </w:r>
      <w:r w:rsidR="00D61AF5">
        <w:rPr>
          <w:rFonts w:hint="cs"/>
          <w:rtl/>
          <w:lang w:eastAsia="he-IL"/>
        </w:rPr>
        <w:t>"</w:t>
      </w:r>
    </w:p>
    <w:p w14:paraId="3A22AD06"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ע"כ ציטוט מפסק הדין הנ"ל.</w:t>
      </w:r>
    </w:p>
    <w:p w14:paraId="246AC5F9" w14:textId="4CBEB47F"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אכן, אין ספק כי מה שנקבע שם על פי ההלכה והפסיקה שפירות נכסים שאינם בני איזון, אם הושגו בעמל מי מהצדדים הינם בני איזון, אין זאת אלא בעודם נשואים כאשר חלות עליהם הוראות חוק יחסי ממון והפסיקה הרלוונטית, לא כן בתקופה שאינם נשואים ושאחד הצדדים השביח מכספו ומיגיעתו את הנכס בהשבחה חיצונית הניכרת לגמרי בנפרד, לכאורה במקרה זה ההשבחה היא בבעלותו הבלעדית </w:t>
      </w:r>
      <w:proofErr w:type="spellStart"/>
      <w:r w:rsidRPr="00A40442">
        <w:rPr>
          <w:rFonts w:eastAsia="Times New Roman"/>
          <w:sz w:val="28"/>
          <w:rtl/>
          <w:lang w:eastAsia="he-IL"/>
          <w14:ligatures w14:val="standardContextual"/>
        </w:rPr>
        <w:t>ומהיכי</w:t>
      </w:r>
      <w:proofErr w:type="spellEnd"/>
      <w:r w:rsidRPr="00A40442">
        <w:rPr>
          <w:rFonts w:eastAsia="Times New Roman"/>
          <w:sz w:val="28"/>
          <w:rtl/>
          <w:lang w:eastAsia="he-IL"/>
          <w14:ligatures w14:val="standardContextual"/>
        </w:rPr>
        <w:t xml:space="preserve"> תיתי שיהיה לשותף השני, קרי</w:t>
      </w:r>
      <w:r w:rsidR="00DB3C5E">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 האישה, חלק בזה?</w:t>
      </w:r>
    </w:p>
    <w:p w14:paraId="2F39B647"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נוסיף ונאמר, כי היות ועסקינן בהשבחה שנעשתה בתקופה שהצדדים לא היו נשואים, דינם כשני שותפים רגילים.</w:t>
      </w:r>
    </w:p>
    <w:p w14:paraId="54128CF2"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עתה נשאל, מה הדין בשותף שבנה בחצר השותפות בית ומשתמש בו בבלעדיות?</w:t>
      </w:r>
    </w:p>
    <w:p w14:paraId="6F4C467F" w14:textId="56014B3E" w:rsidR="00A40442" w:rsidRPr="00A40442" w:rsidRDefault="00A40442" w:rsidP="00031825">
      <w:pPr>
        <w:pStyle w:val="ae"/>
        <w:rPr>
          <w:rFonts w:eastAsia="Times New Roman"/>
          <w:sz w:val="28"/>
          <w:lang w:eastAsia="he-IL"/>
          <w14:ligatures w14:val="standardContextual"/>
        </w:rPr>
      </w:pPr>
      <w:r w:rsidRPr="00A40442">
        <w:rPr>
          <w:rFonts w:eastAsia="Times New Roman"/>
          <w:sz w:val="28"/>
          <w:rtl/>
          <w:lang w:eastAsia="he-IL"/>
          <w14:ligatures w14:val="standardContextual"/>
        </w:rPr>
        <w:t xml:space="preserve">נראה בבירור שיש כאן דין חזקה שמכוחה יכול האיש לטעון כי הנכס בבעלותו הבלעדית, כמבואר </w:t>
      </w:r>
      <w:proofErr w:type="spellStart"/>
      <w:r w:rsidRPr="00A40442">
        <w:rPr>
          <w:rFonts w:eastAsia="Times New Roman"/>
          <w:sz w:val="28"/>
          <w:rtl/>
          <w:lang w:eastAsia="he-IL"/>
          <w14:ligatures w14:val="standardContextual"/>
        </w:rPr>
        <w:t>ברמ"א</w:t>
      </w:r>
      <w:proofErr w:type="spellEnd"/>
      <w:r w:rsidRPr="00A40442">
        <w:rPr>
          <w:rFonts w:eastAsia="Times New Roman"/>
          <w:sz w:val="28"/>
          <w:rtl/>
          <w:lang w:eastAsia="he-IL"/>
          <w14:ligatures w14:val="standardContextual"/>
        </w:rPr>
        <w:t xml:space="preserve"> </w:t>
      </w:r>
      <w:r w:rsidRPr="0041649A">
        <w:rPr>
          <w:rFonts w:eastAsia="Times New Roman"/>
          <w:sz w:val="28"/>
          <w:szCs w:val="24"/>
          <w:rtl/>
          <w:lang w:eastAsia="he-IL"/>
          <w14:ligatures w14:val="standardContextual"/>
        </w:rPr>
        <w:t xml:space="preserve">(חושן משפט סימן </w:t>
      </w:r>
      <w:proofErr w:type="spellStart"/>
      <w:r w:rsidRPr="0041649A">
        <w:rPr>
          <w:rFonts w:eastAsia="Times New Roman"/>
          <w:sz w:val="28"/>
          <w:szCs w:val="24"/>
          <w:rtl/>
          <w:lang w:eastAsia="he-IL"/>
          <w14:ligatures w14:val="standardContextual"/>
        </w:rPr>
        <w:t>קמ</w:t>
      </w:r>
      <w:proofErr w:type="spellEnd"/>
      <w:r w:rsidRPr="0041649A">
        <w:rPr>
          <w:rFonts w:eastAsia="Times New Roman"/>
          <w:sz w:val="28"/>
          <w:szCs w:val="24"/>
          <w:rtl/>
          <w:lang w:eastAsia="he-IL"/>
          <w14:ligatures w14:val="standardContextual"/>
        </w:rPr>
        <w:t xml:space="preserve"> סעיף טו)</w:t>
      </w:r>
      <w:r w:rsidRPr="00A40442">
        <w:rPr>
          <w:rFonts w:eastAsia="Times New Roman"/>
          <w:sz w:val="28"/>
          <w:rtl/>
          <w:lang w:eastAsia="he-IL"/>
          <w14:ligatures w14:val="standardContextual"/>
        </w:rPr>
        <w:t>.</w:t>
      </w:r>
      <w:r w:rsidR="00031825">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 xml:space="preserve">שכתב </w:t>
      </w:r>
      <w:proofErr w:type="spellStart"/>
      <w:r w:rsidRPr="00A40442">
        <w:rPr>
          <w:rFonts w:eastAsia="Times New Roman"/>
          <w:sz w:val="28"/>
          <w:rtl/>
          <w:lang w:eastAsia="he-IL"/>
          <w14:ligatures w14:val="standardContextual"/>
        </w:rPr>
        <w:t>השו"ע</w:t>
      </w:r>
      <w:proofErr w:type="spellEnd"/>
      <w:r w:rsidRPr="00A40442">
        <w:rPr>
          <w:rFonts w:eastAsia="Times New Roman"/>
          <w:sz w:val="28"/>
          <w:rtl/>
          <w:lang w:eastAsia="he-IL"/>
          <w14:ligatures w14:val="standardContextual"/>
        </w:rPr>
        <w:t>:</w:t>
      </w:r>
    </w:p>
    <w:p w14:paraId="5C396E05" w14:textId="4F7FEAF8" w:rsidR="00A40442" w:rsidRPr="00A40442" w:rsidRDefault="004E057B" w:rsidP="00031825">
      <w:pPr>
        <w:pStyle w:val="a9"/>
        <w:rPr>
          <w:rFonts w:eastAsia="Times New Roman"/>
          <w:sz w:val="28"/>
          <w:rtl/>
          <w:lang w:eastAsia="he-IL"/>
          <w14:ligatures w14:val="standardContextual"/>
        </w:rPr>
      </w:pPr>
      <w:r>
        <w:rPr>
          <w:rFonts w:eastAsia="Times New Roman" w:hint="cs"/>
          <w:sz w:val="28"/>
          <w:rtl/>
          <w:lang w:eastAsia="he-IL"/>
          <w14:ligatures w14:val="standardContextual"/>
        </w:rPr>
        <w:lastRenderedPageBreak/>
        <w:t>"</w:t>
      </w:r>
      <w:r w:rsidR="00A40442" w:rsidRPr="00A40442">
        <w:rPr>
          <w:rFonts w:eastAsia="Times New Roman"/>
          <w:sz w:val="28"/>
          <w:rtl/>
          <w:lang w:eastAsia="he-IL"/>
          <w14:ligatures w14:val="standardContextual"/>
        </w:rPr>
        <w:t xml:space="preserve">היה מעמיד בהמה במקום מסוים מחצר </w:t>
      </w:r>
      <w:proofErr w:type="spellStart"/>
      <w:r w:rsidR="00A40442" w:rsidRPr="00A40442">
        <w:rPr>
          <w:rFonts w:eastAsia="Times New Roman"/>
          <w:sz w:val="28"/>
          <w:rtl/>
          <w:lang w:eastAsia="he-IL"/>
          <w14:ligatures w14:val="standardContextual"/>
        </w:rPr>
        <w:t>חבירו</w:t>
      </w:r>
      <w:proofErr w:type="spellEnd"/>
      <w:r w:rsidR="00A40442" w:rsidRPr="00A40442">
        <w:rPr>
          <w:rFonts w:eastAsia="Times New Roman"/>
          <w:sz w:val="28"/>
          <w:rtl/>
          <w:lang w:eastAsia="he-IL"/>
          <w14:ligatures w14:val="standardContextual"/>
        </w:rPr>
        <w:t>, או שהיה מגדל שם תרנגולים, או מעמיד שם תנור וכיריים ורחיים, או שנתן שם זבלו, בין שהעמיד שם מחיצה בין שלא העמיד, אם נשתמש בדברים אלו וכיוצא בהם ג' שנים, וטען על בעל החצר ואמר: אתה נתת לי מקום זה, או: מכרתו לי, הרי זה חזקה</w:t>
      </w:r>
      <w:r>
        <w:rPr>
          <w:rFonts w:eastAsia="Times New Roman" w:hint="cs"/>
          <w:sz w:val="28"/>
          <w:rtl/>
          <w:lang w:eastAsia="he-IL"/>
          <w14:ligatures w14:val="standardContextual"/>
        </w:rPr>
        <w:t>"</w:t>
      </w:r>
      <w:r w:rsidR="00A40442" w:rsidRPr="00A40442">
        <w:rPr>
          <w:rFonts w:eastAsia="Times New Roman"/>
          <w:sz w:val="28"/>
          <w:rtl/>
          <w:lang w:eastAsia="he-IL"/>
          <w14:ligatures w14:val="standardContextual"/>
        </w:rPr>
        <w:t xml:space="preserve">. </w:t>
      </w:r>
    </w:p>
    <w:p w14:paraId="223EA7A2"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וכתב </w:t>
      </w:r>
      <w:proofErr w:type="spellStart"/>
      <w:r w:rsidRPr="00A40442">
        <w:rPr>
          <w:rFonts w:eastAsia="Times New Roman"/>
          <w:sz w:val="28"/>
          <w:rtl/>
          <w:lang w:eastAsia="he-IL"/>
          <w14:ligatures w14:val="standardContextual"/>
        </w:rPr>
        <w:t>הרמ"א</w:t>
      </w:r>
      <w:proofErr w:type="spellEnd"/>
      <w:r w:rsidRPr="00A40442">
        <w:rPr>
          <w:rFonts w:eastAsia="Times New Roman"/>
          <w:sz w:val="28"/>
          <w:rtl/>
          <w:lang w:eastAsia="he-IL"/>
          <w14:ligatures w14:val="standardContextual"/>
        </w:rPr>
        <w:t>:</w:t>
      </w:r>
    </w:p>
    <w:p w14:paraId="58B1C851" w14:textId="06760CB6" w:rsidR="00A40442" w:rsidRPr="00A40442" w:rsidRDefault="004E057B" w:rsidP="00031825">
      <w:pPr>
        <w:pStyle w:val="a9"/>
        <w:rPr>
          <w:rFonts w:eastAsia="Times New Roman"/>
          <w:sz w:val="28"/>
          <w:rtl/>
          <w:lang w:eastAsia="he-IL"/>
          <w14:ligatures w14:val="standardContextual"/>
        </w:rPr>
      </w:pPr>
      <w:r>
        <w:rPr>
          <w:rFonts w:eastAsia="Times New Roman" w:hint="cs"/>
          <w:sz w:val="28"/>
          <w:rtl/>
          <w:lang w:eastAsia="he-IL"/>
          <w14:ligatures w14:val="standardContextual"/>
        </w:rPr>
        <w:t>"</w:t>
      </w:r>
      <w:r w:rsidR="00A40442" w:rsidRPr="00A40442">
        <w:rPr>
          <w:rFonts w:eastAsia="Times New Roman"/>
          <w:sz w:val="28"/>
          <w:rtl/>
          <w:lang w:eastAsia="he-IL"/>
          <w14:ligatures w14:val="standardContextual"/>
        </w:rPr>
        <w:t xml:space="preserve">הגה: </w:t>
      </w:r>
      <w:r w:rsidR="00A40442" w:rsidRPr="00031825">
        <w:rPr>
          <w:rtl/>
          <w:lang w:eastAsia="he-IL"/>
        </w:rPr>
        <w:t>ואפילו</w:t>
      </w:r>
      <w:r w:rsidR="00A40442" w:rsidRPr="00A40442">
        <w:rPr>
          <w:rFonts w:eastAsia="Times New Roman"/>
          <w:sz w:val="28"/>
          <w:rtl/>
          <w:lang w:eastAsia="he-IL"/>
          <w14:ligatures w14:val="standardContextual"/>
        </w:rPr>
        <w:t xml:space="preserve"> היה לו חלק בחצר בשותפות, אם הוא מקום שדרכן להקפיד בזה, או שעשו שאר דברים שדרך להקפיד עליו ולא הקפידו עליו, הוי חזקה למה שהחזיק </w:t>
      </w:r>
      <w:r w:rsidR="00A40442" w:rsidRPr="0041649A">
        <w:rPr>
          <w:rFonts w:eastAsia="Times New Roman"/>
          <w:sz w:val="28"/>
          <w:szCs w:val="24"/>
          <w:rtl/>
          <w:lang w:eastAsia="he-IL"/>
          <w14:ligatures w14:val="standardContextual"/>
        </w:rPr>
        <w:t xml:space="preserve">(כן דעת </w:t>
      </w:r>
      <w:proofErr w:type="spellStart"/>
      <w:r w:rsidR="00A40442" w:rsidRPr="0041649A">
        <w:rPr>
          <w:rFonts w:eastAsia="Times New Roman"/>
          <w:sz w:val="28"/>
          <w:szCs w:val="24"/>
          <w:rtl/>
          <w:lang w:eastAsia="he-IL"/>
          <w14:ligatures w14:val="standardContextual"/>
        </w:rPr>
        <w:t>ריב"ש</w:t>
      </w:r>
      <w:proofErr w:type="spellEnd"/>
      <w:r w:rsidR="00A40442" w:rsidRPr="0041649A">
        <w:rPr>
          <w:rFonts w:eastAsia="Times New Roman"/>
          <w:sz w:val="28"/>
          <w:szCs w:val="24"/>
          <w:rtl/>
          <w:lang w:eastAsia="he-IL"/>
          <w14:ligatures w14:val="standardContextual"/>
        </w:rPr>
        <w:t xml:space="preserve"> סי' רמ"ט /רמ"ח)</w:t>
      </w:r>
      <w:r w:rsidR="00A40442" w:rsidRPr="00A40442">
        <w:rPr>
          <w:rFonts w:eastAsia="Times New Roman"/>
          <w:sz w:val="28"/>
          <w:rtl/>
          <w:lang w:eastAsia="he-IL"/>
          <w14:ligatures w14:val="standardContextual"/>
        </w:rPr>
        <w:t>.</w:t>
      </w:r>
      <w:r>
        <w:rPr>
          <w:rFonts w:eastAsia="Times New Roman" w:hint="cs"/>
          <w:sz w:val="28"/>
          <w:rtl/>
          <w:lang w:eastAsia="he-IL"/>
          <w14:ligatures w14:val="standardContextual"/>
        </w:rPr>
        <w:t>"</w:t>
      </w:r>
    </w:p>
    <w:p w14:paraId="375EBCCB"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מבואר </w:t>
      </w:r>
      <w:proofErr w:type="spellStart"/>
      <w:r w:rsidRPr="00A40442">
        <w:rPr>
          <w:rFonts w:eastAsia="Times New Roman"/>
          <w:sz w:val="28"/>
          <w:rtl/>
          <w:lang w:eastAsia="he-IL"/>
          <w14:ligatures w14:val="standardContextual"/>
        </w:rPr>
        <w:t>ברמ"א</w:t>
      </w:r>
      <w:proofErr w:type="spellEnd"/>
      <w:r w:rsidRPr="00A40442">
        <w:rPr>
          <w:rFonts w:eastAsia="Times New Roman"/>
          <w:sz w:val="28"/>
          <w:rtl/>
          <w:lang w:eastAsia="he-IL"/>
          <w14:ligatures w14:val="standardContextual"/>
        </w:rPr>
        <w:t xml:space="preserve">, ששותף מתוך השותפים שעשה בחצר המשותפת דברים אשר דרך אנשים להקפיד עליהם, יש בכך חזקה למה שהחזיק, ועל פי </w:t>
      </w:r>
      <w:proofErr w:type="spellStart"/>
      <w:r w:rsidRPr="00A40442">
        <w:rPr>
          <w:rFonts w:eastAsia="Times New Roman"/>
          <w:sz w:val="28"/>
          <w:rtl/>
          <w:lang w:eastAsia="he-IL"/>
          <w14:ligatures w14:val="standardContextual"/>
        </w:rPr>
        <w:t>הריב"ש</w:t>
      </w:r>
      <w:proofErr w:type="spellEnd"/>
      <w:r w:rsidRPr="00A40442">
        <w:rPr>
          <w:rFonts w:eastAsia="Times New Roman"/>
          <w:sz w:val="28"/>
          <w:rtl/>
          <w:lang w:eastAsia="he-IL"/>
          <w14:ligatures w14:val="standardContextual"/>
        </w:rPr>
        <w:t xml:space="preserve"> בסימן </w:t>
      </w:r>
      <w:proofErr w:type="spellStart"/>
      <w:r w:rsidRPr="00A40442">
        <w:rPr>
          <w:rFonts w:eastAsia="Times New Roman"/>
          <w:sz w:val="28"/>
          <w:rtl/>
          <w:lang w:eastAsia="he-IL"/>
          <w14:ligatures w14:val="standardContextual"/>
        </w:rPr>
        <w:t>רמח</w:t>
      </w:r>
      <w:proofErr w:type="spellEnd"/>
      <w:r w:rsidRPr="00A40442">
        <w:rPr>
          <w:rFonts w:eastAsia="Times New Roman"/>
          <w:sz w:val="28"/>
          <w:rtl/>
          <w:lang w:eastAsia="he-IL"/>
          <w14:ligatures w14:val="standardContextual"/>
        </w:rPr>
        <w:t xml:space="preserve">, אין כאן המקום להאריך במקור הדין. </w:t>
      </w:r>
      <w:proofErr w:type="spellStart"/>
      <w:r w:rsidRPr="00A40442">
        <w:rPr>
          <w:rFonts w:eastAsia="Times New Roman"/>
          <w:sz w:val="28"/>
          <w:rtl/>
          <w:lang w:eastAsia="he-IL"/>
          <w14:ligatures w14:val="standardContextual"/>
        </w:rPr>
        <w:t>ובנידוננו</w:t>
      </w:r>
      <w:proofErr w:type="spellEnd"/>
      <w:r w:rsidRPr="00A40442">
        <w:rPr>
          <w:rFonts w:eastAsia="Times New Roman"/>
          <w:sz w:val="28"/>
          <w:rtl/>
          <w:lang w:eastAsia="he-IL"/>
          <w14:ligatures w14:val="standardContextual"/>
        </w:rPr>
        <w:t>, חזקה לכך שהקומה העליונה בבעלותו שכן ברור ופשוט ששותפים לא יסכימו לכך שאחד השותפים יבנה מבנה של קבע בחצר השותפים.</w:t>
      </w:r>
    </w:p>
    <w:p w14:paraId="487D8AC4"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נמצא אם כן, כי הגם שגג הקומה התחתונה הינו חצר משותפת, היות והאיש בנה עליה מבנה של קבע שעמד שם שנים רבות והשתמש בו באופן בלעדי לעסקיו, יש כאן חזקה גמורה והקומה הזו בבעלותו מחמת הדין של חזקת שלוש שנים, שהרי לטענת האיש, האישה נתנה לו את חלקה בגג לבנות עליו קומה נוספת.</w:t>
      </w:r>
    </w:p>
    <w:p w14:paraId="134164F0"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יש להוסיף, כי הגג הינו חצר השותפים שבוודאי יש בה דין חלוקה, שהרי ניתן לבצע בגג חלוקה בעין כך שלכל אחד מהצדדים תהיה בעלות על מחצית הגג, משכך ועל פי המבואר בסימן קמט ס"ב, יש חזקה גם בשותפים, שהרי האיש החזיק בכל חצר השותפים ומדובר בחצר שיש בה דין חלוקה.</w:t>
      </w:r>
    </w:p>
    <w:p w14:paraId="4EC9F599" w14:textId="77777777" w:rsidR="00A40442" w:rsidRPr="00A40442" w:rsidRDefault="00A40442" w:rsidP="0003182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לאור האמור ביה"ד פוסק:</w:t>
      </w:r>
    </w:p>
    <w:p w14:paraId="6F72F00B" w14:textId="497FB624" w:rsidR="00031825" w:rsidRDefault="00A40442" w:rsidP="00031825">
      <w:pPr>
        <w:pStyle w:val="a8"/>
        <w:numPr>
          <w:ilvl w:val="0"/>
          <w:numId w:val="12"/>
        </w:numPr>
        <w:rPr>
          <w:rFonts w:eastAsia="Times New Roman"/>
          <w:kern w:val="28"/>
          <w:sz w:val="28"/>
          <w:lang w:eastAsia="he-IL"/>
          <w14:ligatures w14:val="standardContextual"/>
        </w:rPr>
      </w:pPr>
      <w:r w:rsidRPr="00A40442">
        <w:rPr>
          <w:rFonts w:eastAsia="Times New Roman"/>
          <w:kern w:val="28"/>
          <w:sz w:val="28"/>
          <w:rtl/>
          <w:lang w:eastAsia="he-IL"/>
          <w14:ligatures w14:val="standardContextual"/>
        </w:rPr>
        <w:t>הקומה התחתונה בנכס ברחוב</w:t>
      </w:r>
      <w:r w:rsidR="00D83DAA">
        <w:rPr>
          <w:rFonts w:eastAsia="Times New Roman" w:hint="cs"/>
          <w:kern w:val="28"/>
          <w:sz w:val="28"/>
          <w:rtl/>
          <w:lang w:eastAsia="he-IL"/>
          <w14:ligatures w14:val="standardContextual"/>
        </w:rPr>
        <w:t xml:space="preserve"> [ה']</w:t>
      </w:r>
      <w:r w:rsidRPr="00A40442">
        <w:rPr>
          <w:rFonts w:eastAsia="Times New Roman"/>
          <w:kern w:val="28"/>
          <w:sz w:val="28"/>
          <w:rtl/>
          <w:lang w:eastAsia="he-IL"/>
          <w14:ligatures w14:val="standardContextual"/>
        </w:rPr>
        <w:t xml:space="preserve"> ב</w:t>
      </w:r>
      <w:r w:rsidR="00D83DAA">
        <w:rPr>
          <w:rFonts w:eastAsia="Times New Roman" w:hint="cs"/>
          <w:kern w:val="28"/>
          <w:sz w:val="28"/>
          <w:rtl/>
          <w:lang w:eastAsia="he-IL"/>
          <w14:ligatures w14:val="standardContextual"/>
        </w:rPr>
        <w:t>עיר [</w:t>
      </w:r>
      <w:r w:rsidR="00031825">
        <w:rPr>
          <w:rFonts w:eastAsia="Times New Roman" w:hint="cs"/>
          <w:kern w:val="28"/>
          <w:sz w:val="28"/>
          <w:rtl/>
          <w:lang w:eastAsia="he-IL"/>
          <w14:ligatures w14:val="standardContextual"/>
        </w:rPr>
        <w:t>ה'</w:t>
      </w:r>
      <w:r w:rsidR="00D83DAA">
        <w:rPr>
          <w:rFonts w:eastAsia="Times New Roman" w:hint="cs"/>
          <w:kern w:val="28"/>
          <w:sz w:val="28"/>
          <w:rtl/>
          <w:lang w:eastAsia="he-IL"/>
          <w14:ligatures w14:val="standardContextual"/>
        </w:rPr>
        <w:t>]</w:t>
      </w:r>
      <w:r w:rsidRPr="00A40442">
        <w:rPr>
          <w:rFonts w:eastAsia="Times New Roman"/>
          <w:kern w:val="28"/>
          <w:sz w:val="28"/>
          <w:rtl/>
          <w:lang w:eastAsia="he-IL"/>
          <w14:ligatures w14:val="standardContextual"/>
        </w:rPr>
        <w:t>, הינה בבעלות משותפת, הקומה העליונה הינה בבעלות בלעדית של האיש.</w:t>
      </w:r>
    </w:p>
    <w:p w14:paraId="06FEF595" w14:textId="1E9C5B9A" w:rsidR="00A40442" w:rsidRPr="00031825" w:rsidRDefault="00A40442" w:rsidP="00031825">
      <w:pPr>
        <w:pStyle w:val="a8"/>
        <w:numPr>
          <w:ilvl w:val="0"/>
          <w:numId w:val="12"/>
        </w:numPr>
        <w:rPr>
          <w:rFonts w:eastAsia="Times New Roman"/>
          <w:kern w:val="28"/>
          <w:sz w:val="28"/>
          <w:lang w:eastAsia="he-IL"/>
          <w14:ligatures w14:val="standardContextual"/>
        </w:rPr>
      </w:pPr>
      <w:r w:rsidRPr="00031825">
        <w:rPr>
          <w:rFonts w:eastAsia="Times New Roman"/>
          <w:kern w:val="28"/>
          <w:sz w:val="28"/>
          <w:rtl/>
          <w:lang w:eastAsia="he-IL"/>
          <w14:ligatures w14:val="standardContextual"/>
        </w:rPr>
        <w:t>ניתן להגיש בקשות בהתאם.</w:t>
      </w:r>
    </w:p>
    <w:p w14:paraId="499E8CBF" w14:textId="1A3AAA7D" w:rsidR="00A40442" w:rsidRPr="00683F64" w:rsidRDefault="00A40442" w:rsidP="00683F64">
      <w:pPr>
        <w:pStyle w:val="aff0"/>
        <w:rPr>
          <w:rtl/>
        </w:rPr>
      </w:pPr>
      <w:r w:rsidRPr="00683F64">
        <w:rPr>
          <w:rtl/>
        </w:rPr>
        <w:t>הרב נחמיה נשר</w:t>
      </w:r>
      <w:r w:rsidR="00683F64">
        <w:rPr>
          <w:rFonts w:hint="cs"/>
          <w:rtl/>
        </w:rPr>
        <w:t xml:space="preserve"> </w:t>
      </w:r>
      <w:r w:rsidRPr="00683F64">
        <w:rPr>
          <w:rtl/>
        </w:rPr>
        <w:t xml:space="preserve">- דיין  </w:t>
      </w:r>
    </w:p>
    <w:p w14:paraId="07F21A48" w14:textId="77777777" w:rsidR="00031825" w:rsidRDefault="00031825" w:rsidP="00A40442">
      <w:pPr>
        <w:spacing w:before="120" w:after="120" w:line="276" w:lineRule="auto"/>
        <w:jc w:val="left"/>
        <w:rPr>
          <w:rFonts w:eastAsia="Times New Roman"/>
          <w:kern w:val="28"/>
          <w:sz w:val="28"/>
          <w:rtl/>
          <w:lang w:eastAsia="he-IL"/>
          <w14:ligatures w14:val="standardContextual"/>
        </w:rPr>
      </w:pPr>
    </w:p>
    <w:p w14:paraId="1D702077" w14:textId="276FD2AE" w:rsidR="00A40442" w:rsidRPr="00A40442" w:rsidRDefault="00A40442" w:rsidP="00683F64">
      <w:pPr>
        <w:pStyle w:val="ad"/>
        <w:rPr>
          <w:kern w:val="28"/>
          <w:rtl/>
          <w14:ligatures w14:val="standardContextual"/>
        </w:rPr>
      </w:pPr>
      <w:r w:rsidRPr="00A40442">
        <w:rPr>
          <w:kern w:val="28"/>
          <w:rtl/>
          <w14:ligatures w14:val="standardContextual"/>
        </w:rPr>
        <w:t xml:space="preserve">עיינתי במה שכתב עמיתי וידידי הרה"ג נחמיה נשר </w:t>
      </w:r>
      <w:proofErr w:type="spellStart"/>
      <w:r w:rsidRPr="00A40442">
        <w:rPr>
          <w:kern w:val="28"/>
          <w:rtl/>
          <w14:ligatures w14:val="standardContextual"/>
        </w:rPr>
        <w:t>שליט"א</w:t>
      </w:r>
      <w:proofErr w:type="spellEnd"/>
      <w:r w:rsidRPr="00A40442">
        <w:rPr>
          <w:kern w:val="28"/>
          <w:rtl/>
          <w14:ligatures w14:val="standardContextual"/>
        </w:rPr>
        <w:t xml:space="preserve">, ואינני מסכים עמו. </w:t>
      </w:r>
    </w:p>
    <w:p w14:paraId="719A3DAF" w14:textId="233E126A"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טענות הצדדים ועיקרי הנתונים העובדתיים כבר נכתבו על ידי עמיתי ואין לי צורך לחזור עליהם</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קיימות עובדות נוספות רלוונטיות הנדרשות למתן פסק הדין והם יובאו לקמן.  </w:t>
      </w:r>
    </w:p>
    <w:p w14:paraId="453D5537" w14:textId="437B66A8"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כאמור</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הצדדים נישאו בשנת 1974 והתגרשו בתאריך 9</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11</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89. לדברי </w:t>
      </w:r>
      <w:proofErr w:type="spellStart"/>
      <w:r w:rsidRPr="00A40442">
        <w:rPr>
          <w:rFonts w:eastAsia="Times New Roman"/>
          <w:sz w:val="28"/>
          <w:rtl/>
          <w:lang w:eastAsia="he-IL"/>
          <w14:ligatures w14:val="standardContextual"/>
        </w:rPr>
        <w:t>האשה</w:t>
      </w:r>
      <w:proofErr w:type="spellEnd"/>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מיד לאחר הגירושין חזרו לביתם המשותף לחיות ביחד. לדברי האיש</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7 חודשים לאחר הגירושין חזרו לחיות ביחד.</w:t>
      </w:r>
    </w:p>
    <w:p w14:paraId="5CFAF585" w14:textId="610AC540" w:rsidR="00A40442" w:rsidRPr="00683F64" w:rsidRDefault="00A40442" w:rsidP="00683F64">
      <w:pPr>
        <w:pStyle w:val="-0"/>
        <w:rPr>
          <w:rtl/>
          <w:lang w:eastAsia="he-IL"/>
        </w:rPr>
      </w:pPr>
      <w:r w:rsidRPr="00683F64">
        <w:rPr>
          <w:rtl/>
          <w:lang w:eastAsia="he-IL"/>
        </w:rPr>
        <w:t xml:space="preserve">נתיב ההכרעה </w:t>
      </w:r>
    </w:p>
    <w:p w14:paraId="22A9E7A7" w14:textId="2962952F" w:rsidR="00A40442" w:rsidRPr="00A40442" w:rsidRDefault="00A40442" w:rsidP="00683F64">
      <w:pPr>
        <w:pStyle w:val="ad"/>
        <w:rPr>
          <w:kern w:val="28"/>
          <w:rtl/>
          <w14:ligatures w14:val="standardContextual"/>
        </w:rPr>
      </w:pPr>
      <w:r w:rsidRPr="00A40442">
        <w:rPr>
          <w:kern w:val="28"/>
          <w:rtl/>
          <w14:ligatures w14:val="standardContextual"/>
        </w:rPr>
        <w:t>בשולחן ערוך אבן העזר סימן קמ"ט סעיף א' נפסק</w:t>
      </w:r>
      <w:r w:rsidR="00563C6C">
        <w:rPr>
          <w:rFonts w:hint="cs"/>
          <w:kern w:val="28"/>
          <w:rtl/>
          <w14:ligatures w14:val="standardContextual"/>
        </w:rPr>
        <w:t>:</w:t>
      </w:r>
    </w:p>
    <w:p w14:paraId="6B28C091" w14:textId="1DF8E0FB" w:rsidR="00A40442" w:rsidRPr="00D83DAA" w:rsidRDefault="00A40442" w:rsidP="00D83DAA">
      <w:pPr>
        <w:pStyle w:val="a9"/>
        <w:rPr>
          <w:sz w:val="28"/>
          <w:rtl/>
        </w:rPr>
      </w:pPr>
      <w:r w:rsidRPr="00D83DAA">
        <w:rPr>
          <w:sz w:val="28"/>
          <w:rtl/>
        </w:rPr>
        <w:t>"המגרש את אשתו וחזר ובעלה בפני עדים (</w:t>
      </w:r>
      <w:proofErr w:type="spellStart"/>
      <w:r w:rsidRPr="00D83DAA">
        <w:rPr>
          <w:sz w:val="28"/>
          <w:rtl/>
        </w:rPr>
        <w:t>הרמ"א</w:t>
      </w:r>
      <w:proofErr w:type="spellEnd"/>
      <w:r w:rsidRPr="00D83DAA">
        <w:rPr>
          <w:sz w:val="28"/>
          <w:rtl/>
        </w:rPr>
        <w:t xml:space="preserve">: או שגלוי לכל שבא עליה כגון שנשאה) הואיל ואשתו </w:t>
      </w:r>
      <w:proofErr w:type="spellStart"/>
      <w:r w:rsidRPr="00D83DAA">
        <w:rPr>
          <w:sz w:val="28"/>
          <w:rtl/>
        </w:rPr>
        <w:t>היתה</w:t>
      </w:r>
      <w:proofErr w:type="spellEnd"/>
      <w:r w:rsidRPr="00D83DAA">
        <w:rPr>
          <w:sz w:val="28"/>
          <w:rtl/>
        </w:rPr>
        <w:t xml:space="preserve">, הרי זה בחזקת שהחזירה ולשם קידושין </w:t>
      </w:r>
      <w:r w:rsidRPr="00D83DAA">
        <w:rPr>
          <w:sz w:val="28"/>
          <w:rtl/>
        </w:rPr>
        <w:lastRenderedPageBreak/>
        <w:t xml:space="preserve">בעל ולא לשם זנות... שחזקה היא שאין אדם עושה בעילתו בעילת זנות... לפיכך הרי זו מקודשת קידושי ודאי וצריכה ממנו גט שני". </w:t>
      </w:r>
    </w:p>
    <w:p w14:paraId="67F38291" w14:textId="77777777"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הבית שמואל שם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ג' כתב</w:t>
      </w:r>
      <w:r w:rsidR="00683F64">
        <w:rPr>
          <w:rFonts w:eastAsia="Times New Roman" w:hint="cs"/>
          <w:sz w:val="28"/>
          <w:rtl/>
          <w:lang w:eastAsia="he-IL"/>
          <w14:ligatures w14:val="standardContextual"/>
        </w:rPr>
        <w:t>:</w:t>
      </w:r>
    </w:p>
    <w:p w14:paraId="15705EC8" w14:textId="5D1C801E" w:rsidR="00A40442" w:rsidRPr="00D83DAA" w:rsidRDefault="00A40442" w:rsidP="00D83DAA">
      <w:pPr>
        <w:pStyle w:val="a9"/>
        <w:rPr>
          <w:sz w:val="28"/>
          <w:rtl/>
        </w:rPr>
      </w:pPr>
      <w:r w:rsidRPr="00D83DAA">
        <w:rPr>
          <w:sz w:val="28"/>
          <w:rtl/>
        </w:rPr>
        <w:t xml:space="preserve">"קידושי ודאי. כן כתב הרמב"ם, ומשמע דאז אין </w:t>
      </w:r>
      <w:proofErr w:type="spellStart"/>
      <w:r w:rsidRPr="00D83DAA">
        <w:rPr>
          <w:sz w:val="28"/>
          <w:rtl/>
        </w:rPr>
        <w:t>תופסין</w:t>
      </w:r>
      <w:proofErr w:type="spellEnd"/>
      <w:r w:rsidRPr="00D83DAA">
        <w:rPr>
          <w:sz w:val="28"/>
          <w:rtl/>
        </w:rPr>
        <w:t xml:space="preserve"> בה קידושין של אחר, </w:t>
      </w:r>
      <w:proofErr w:type="spellStart"/>
      <w:r w:rsidRPr="00D83DAA">
        <w:rPr>
          <w:sz w:val="28"/>
          <w:rtl/>
        </w:rPr>
        <w:t>דוקא</w:t>
      </w:r>
      <w:proofErr w:type="spellEnd"/>
      <w:r w:rsidRPr="00D83DAA">
        <w:rPr>
          <w:sz w:val="28"/>
          <w:rtl/>
        </w:rPr>
        <w:t xml:space="preserve"> ביחוד </w:t>
      </w:r>
      <w:proofErr w:type="spellStart"/>
      <w:r w:rsidRPr="00D83DAA">
        <w:rPr>
          <w:sz w:val="28"/>
          <w:rtl/>
        </w:rPr>
        <w:t>תופסין</w:t>
      </w:r>
      <w:proofErr w:type="spellEnd"/>
      <w:r w:rsidRPr="00D83DAA">
        <w:rPr>
          <w:sz w:val="28"/>
          <w:rtl/>
        </w:rPr>
        <w:t xml:space="preserve"> קידושין של שני ולא </w:t>
      </w:r>
      <w:proofErr w:type="spellStart"/>
      <w:r w:rsidRPr="00D83DAA">
        <w:rPr>
          <w:sz w:val="28"/>
          <w:rtl/>
        </w:rPr>
        <w:t>בבעיל</w:t>
      </w:r>
      <w:proofErr w:type="spellEnd"/>
      <w:r w:rsidRPr="00D83DAA">
        <w:rPr>
          <w:sz w:val="28"/>
          <w:rtl/>
        </w:rPr>
        <w:t xml:space="preserve"> וכן כתב </w:t>
      </w:r>
      <w:proofErr w:type="spellStart"/>
      <w:r w:rsidRPr="00D83DAA">
        <w:rPr>
          <w:sz w:val="28"/>
          <w:rtl/>
        </w:rPr>
        <w:t>הב"ח</w:t>
      </w:r>
      <w:proofErr w:type="spellEnd"/>
      <w:r w:rsidRPr="00D83DAA">
        <w:rPr>
          <w:sz w:val="28"/>
          <w:rtl/>
        </w:rPr>
        <w:t xml:space="preserve"> ...</w:t>
      </w:r>
      <w:r w:rsidR="004E057B" w:rsidRPr="00D83DAA">
        <w:rPr>
          <w:rFonts w:hint="cs"/>
          <w:sz w:val="28"/>
          <w:rtl/>
        </w:rPr>
        <w:t xml:space="preserve"> </w:t>
      </w:r>
      <w:r w:rsidRPr="00D83DAA">
        <w:rPr>
          <w:sz w:val="28"/>
          <w:rtl/>
        </w:rPr>
        <w:t>".</w:t>
      </w:r>
    </w:p>
    <w:p w14:paraId="12F0EBE9" w14:textId="77777777"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כלומר, הואיל והיא </w:t>
      </w:r>
      <w:proofErr w:type="spellStart"/>
      <w:r w:rsidRPr="00A40442">
        <w:rPr>
          <w:rFonts w:eastAsia="Times New Roman"/>
          <w:sz w:val="28"/>
          <w:rtl/>
          <w:lang w:eastAsia="he-IL"/>
          <w14:ligatures w14:val="standardContextual"/>
        </w:rPr>
        <w:t>היתה</w:t>
      </w:r>
      <w:proofErr w:type="spellEnd"/>
      <w:r w:rsidRPr="00A40442">
        <w:rPr>
          <w:rFonts w:eastAsia="Times New Roman"/>
          <w:sz w:val="28"/>
          <w:rtl/>
          <w:lang w:eastAsia="he-IL"/>
          <w14:ligatures w14:val="standardContextual"/>
        </w:rPr>
        <w:t xml:space="preserve"> נשואה לו כדין, הרי אם בעלה חזקה היא שהחזירה להיות שוב אשתו וקידש אותה כדין בביאה, ולכן נישואין וודאים הם כאשר ידוע שהוא בא עליה, ונישואי ספק הן רק אם היה יחוד בלבד.</w:t>
      </w:r>
    </w:p>
    <w:p w14:paraId="58409A2B" w14:textId="56920A8C"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בסעיף ה' שם כותב השולחן</w:t>
      </w:r>
      <w:r w:rsidR="00683F64">
        <w:rPr>
          <w:rFonts w:eastAsia="Times New Roman" w:hint="cs"/>
          <w:sz w:val="28"/>
          <w:rtl/>
          <w:lang w:eastAsia="he-IL"/>
          <w14:ligatures w14:val="standardContextual"/>
        </w:rPr>
        <w:t xml:space="preserve"> ערוך</w:t>
      </w:r>
      <w:r w:rsidRPr="00A40442">
        <w:rPr>
          <w:rFonts w:eastAsia="Times New Roman"/>
          <w:sz w:val="28"/>
          <w:rtl/>
          <w:lang w:eastAsia="he-IL"/>
          <w14:ligatures w14:val="standardContextual"/>
        </w:rPr>
        <w:t xml:space="preserve">: </w:t>
      </w:r>
    </w:p>
    <w:p w14:paraId="3F970789" w14:textId="3B5A9FAD" w:rsidR="00A40442"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"לא אמרו חזקה דאין אדם עושה בעילתו בעילת זנות אלא באשתו שגירשה... שהרי אשתו ובאשתו הוא שחזקתו שאינו עושה בעילתו בעילת זנות עד שיפרש שהיא בעילת זנות... אבל שאר כל הנשים בחזקה שבעל לשם זנות עד שיפרש שבעל לשם קידושין".   </w:t>
      </w:r>
    </w:p>
    <w:p w14:paraId="2008EDF6" w14:textId="77777777"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כלומר, חזקה שאין עושה בעילתו בעילת זנות אינה אלא באשתו שגירשה וחזר לחיות עמה, אבל באיש החי עם </w:t>
      </w:r>
      <w:proofErr w:type="spellStart"/>
      <w:r w:rsidRPr="00A40442">
        <w:rPr>
          <w:rFonts w:eastAsia="Times New Roman"/>
          <w:sz w:val="28"/>
          <w:rtl/>
          <w:lang w:eastAsia="he-IL"/>
          <w14:ligatures w14:val="standardContextual"/>
        </w:rPr>
        <w:t>אשה</w:t>
      </w:r>
      <w:proofErr w:type="spellEnd"/>
      <w:r w:rsidRPr="00A40442">
        <w:rPr>
          <w:rFonts w:eastAsia="Times New Roman"/>
          <w:sz w:val="28"/>
          <w:rtl/>
          <w:lang w:eastAsia="he-IL"/>
          <w14:ligatures w14:val="standardContextual"/>
        </w:rPr>
        <w:t xml:space="preserve"> שאינה אשתו לא נאמרה חזקה זו.  </w:t>
      </w:r>
    </w:p>
    <w:p w14:paraId="119DAC05" w14:textId="296BEF5E"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מפרשי השולחן </w:t>
      </w:r>
      <w:proofErr w:type="spellStart"/>
      <w:r w:rsidRPr="00A40442">
        <w:rPr>
          <w:rFonts w:eastAsia="Times New Roman"/>
          <w:sz w:val="28"/>
          <w:rtl/>
          <w:lang w:eastAsia="he-IL"/>
          <w14:ligatures w14:val="standardContextual"/>
        </w:rPr>
        <w:t>נתחבטו</w:t>
      </w:r>
      <w:proofErr w:type="spellEnd"/>
      <w:r w:rsidRPr="00A40442">
        <w:rPr>
          <w:rFonts w:eastAsia="Times New Roman"/>
          <w:sz w:val="28"/>
          <w:rtl/>
          <w:lang w:eastAsia="he-IL"/>
          <w14:ligatures w14:val="standardContextual"/>
        </w:rPr>
        <w:t xml:space="preserve"> במשמעות דברי </w:t>
      </w:r>
      <w:proofErr w:type="spellStart"/>
      <w:r w:rsidRPr="00A40442">
        <w:rPr>
          <w:rFonts w:eastAsia="Times New Roman"/>
          <w:sz w:val="28"/>
          <w:rtl/>
          <w:lang w:eastAsia="he-IL"/>
          <w14:ligatures w14:val="standardContextual"/>
        </w:rPr>
        <w:t>הרמ"א</w:t>
      </w:r>
      <w:proofErr w:type="spellEnd"/>
      <w:r w:rsidRPr="00A40442">
        <w:rPr>
          <w:rFonts w:eastAsia="Times New Roman"/>
          <w:sz w:val="28"/>
          <w:rtl/>
          <w:lang w:eastAsia="he-IL"/>
          <w14:ligatures w14:val="standardContextual"/>
        </w:rPr>
        <w:t xml:space="preserve"> הנ"ל שכתב "כגון שנשאה"</w:t>
      </w:r>
      <w:r w:rsidR="004E057B">
        <w:rPr>
          <w:rFonts w:eastAsia="Times New Roman" w:hint="cs"/>
          <w:sz w:val="28"/>
          <w:rtl/>
          <w:lang w:eastAsia="he-IL"/>
          <w14:ligatures w14:val="standardContextual"/>
        </w:rPr>
        <w:t>,</w:t>
      </w:r>
      <w:r w:rsidRPr="00A40442">
        <w:rPr>
          <w:rFonts w:eastAsia="Times New Roman"/>
          <w:b/>
          <w:bCs/>
          <w:sz w:val="28"/>
          <w:rtl/>
          <w:lang w:eastAsia="he-IL"/>
          <w14:ligatures w14:val="standardContextual"/>
        </w:rPr>
        <w:t xml:space="preserve"> </w:t>
      </w:r>
      <w:r w:rsidRPr="00A40442">
        <w:rPr>
          <w:rFonts w:eastAsia="Times New Roman"/>
          <w:sz w:val="28"/>
          <w:rtl/>
          <w:lang w:eastAsia="he-IL"/>
          <w14:ligatures w14:val="standardContextual"/>
        </w:rPr>
        <w:t xml:space="preserve">כי אם נשאה, הרי יש כאן נישואין ממש </w:t>
      </w:r>
      <w:r w:rsidRPr="0041649A">
        <w:rPr>
          <w:rFonts w:eastAsia="Times New Roman"/>
          <w:sz w:val="28"/>
          <w:szCs w:val="24"/>
          <w:rtl/>
          <w:lang w:eastAsia="he-IL"/>
          <w14:ligatures w14:val="standardContextual"/>
        </w:rPr>
        <w:t xml:space="preserve">(עיין שם בבית שמואל </w:t>
      </w:r>
      <w:proofErr w:type="spellStart"/>
      <w:r w:rsidRPr="0041649A">
        <w:rPr>
          <w:rFonts w:eastAsia="Times New Roman"/>
          <w:sz w:val="28"/>
          <w:szCs w:val="24"/>
          <w:rtl/>
          <w:lang w:eastAsia="he-IL"/>
          <w14:ligatures w14:val="standardContextual"/>
        </w:rPr>
        <w:t>ס"ק</w:t>
      </w:r>
      <w:proofErr w:type="spellEnd"/>
      <w:r w:rsidRPr="0041649A">
        <w:rPr>
          <w:rFonts w:eastAsia="Times New Roman"/>
          <w:sz w:val="28"/>
          <w:szCs w:val="24"/>
          <w:rtl/>
          <w:lang w:eastAsia="he-IL"/>
          <w14:ligatures w14:val="standardContextual"/>
        </w:rPr>
        <w:t xml:space="preserve"> א' ובטורי זהב </w:t>
      </w:r>
      <w:proofErr w:type="spellStart"/>
      <w:r w:rsidRPr="0041649A">
        <w:rPr>
          <w:rFonts w:eastAsia="Times New Roman"/>
          <w:sz w:val="28"/>
          <w:szCs w:val="24"/>
          <w:rtl/>
          <w:lang w:eastAsia="he-IL"/>
          <w14:ligatures w14:val="standardContextual"/>
        </w:rPr>
        <w:t>ס"ק</w:t>
      </w:r>
      <w:proofErr w:type="spellEnd"/>
      <w:r w:rsidRPr="0041649A">
        <w:rPr>
          <w:rFonts w:eastAsia="Times New Roman"/>
          <w:sz w:val="28"/>
          <w:szCs w:val="24"/>
          <w:rtl/>
          <w:lang w:eastAsia="he-IL"/>
          <w14:ligatures w14:val="standardContextual"/>
        </w:rPr>
        <w:t xml:space="preserve"> א')</w:t>
      </w:r>
      <w:r w:rsidRPr="00A40442">
        <w:rPr>
          <w:rFonts w:eastAsia="Times New Roman"/>
          <w:sz w:val="28"/>
          <w:rtl/>
          <w:lang w:eastAsia="he-IL"/>
          <w14:ligatures w14:val="standardContextual"/>
        </w:rPr>
        <w:t>.</w:t>
      </w:r>
    </w:p>
    <w:p w14:paraId="5610CF2E" w14:textId="2CCAB547" w:rsidR="00683F64" w:rsidRDefault="00A40442" w:rsidP="00683F64">
      <w:pPr>
        <w:pStyle w:val="ae"/>
        <w:rPr>
          <w:rFonts w:eastAsia="Times New Roman"/>
          <w:b/>
          <w:bCs/>
          <w:sz w:val="28"/>
          <w:rtl/>
          <w:lang w:eastAsia="he-IL"/>
          <w14:ligatures w14:val="standardContextual"/>
        </w:rPr>
      </w:pPr>
      <w:r w:rsidRPr="00A40442">
        <w:rPr>
          <w:rFonts w:eastAsia="Times New Roman"/>
          <w:sz w:val="28"/>
          <w:rtl/>
          <w:lang w:eastAsia="he-IL"/>
          <w14:ligatures w14:val="standardContextual"/>
        </w:rPr>
        <w:t xml:space="preserve">בביאור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 xml:space="preserve"> שם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א' מציין</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w:t>
      </w:r>
    </w:p>
    <w:p w14:paraId="4B2BAF8B" w14:textId="77777777" w:rsidR="00683F64"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"עיין מה שכתבנו לעיל בסימן כ"ו סעיף א'".  </w:t>
      </w:r>
    </w:p>
    <w:p w14:paraId="4C9532D2" w14:textId="77992D3F"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שם כתב </w:t>
      </w:r>
      <w:proofErr w:type="spellStart"/>
      <w:r w:rsidRPr="00A40442">
        <w:rPr>
          <w:rFonts w:eastAsia="Times New Roman"/>
          <w:sz w:val="28"/>
          <w:rtl/>
          <w:lang w:eastAsia="he-IL"/>
          <w14:ligatures w14:val="standardContextual"/>
        </w:rPr>
        <w:t>השו"ע</w:t>
      </w:r>
      <w:proofErr w:type="spellEnd"/>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w:t>
      </w:r>
    </w:p>
    <w:p w14:paraId="21E780DD" w14:textId="55725D96" w:rsidR="00683F64"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"אין </w:t>
      </w:r>
      <w:proofErr w:type="spellStart"/>
      <w:r w:rsidRPr="00D83DAA">
        <w:rPr>
          <w:rFonts w:eastAsia="Times New Roman"/>
          <w:sz w:val="28"/>
          <w:rtl/>
          <w:lang w:eastAsia="he-IL"/>
          <w14:ligatures w14:val="standardContextual"/>
        </w:rPr>
        <w:t>אשה</w:t>
      </w:r>
      <w:proofErr w:type="spellEnd"/>
      <w:r w:rsidRPr="00D83DAA">
        <w:rPr>
          <w:rFonts w:eastAsia="Times New Roman"/>
          <w:sz w:val="28"/>
          <w:rtl/>
          <w:lang w:eastAsia="he-IL"/>
          <w14:ligatures w14:val="standardContextual"/>
        </w:rPr>
        <w:t xml:space="preserve"> נחשבת אשת איש אלא על ידי קידושין </w:t>
      </w:r>
      <w:proofErr w:type="spellStart"/>
      <w:r w:rsidRPr="00D83DAA">
        <w:rPr>
          <w:rFonts w:eastAsia="Times New Roman"/>
          <w:sz w:val="28"/>
          <w:rtl/>
          <w:lang w:eastAsia="he-IL"/>
          <w14:ligatures w14:val="standardContextual"/>
        </w:rPr>
        <w:t>שנתקדשה</w:t>
      </w:r>
      <w:proofErr w:type="spellEnd"/>
      <w:r w:rsidRPr="00D83DAA">
        <w:rPr>
          <w:rFonts w:eastAsia="Times New Roman"/>
          <w:sz w:val="28"/>
          <w:rtl/>
          <w:lang w:eastAsia="he-IL"/>
          <w14:ligatures w14:val="standardContextual"/>
        </w:rPr>
        <w:t xml:space="preserve"> כראוי... ואפילו אם ייחדה לו". </w:t>
      </w:r>
    </w:p>
    <w:p w14:paraId="44C00892" w14:textId="12CB722A"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ומפרש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 xml:space="preserve"> שם בסימן כ"ו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ג'</w:t>
      </w:r>
      <w:r w:rsidR="00683F64">
        <w:rPr>
          <w:rFonts w:eastAsia="Times New Roman" w:hint="cs"/>
          <w:sz w:val="28"/>
          <w:rtl/>
          <w:lang w:eastAsia="he-IL"/>
          <w14:ligatures w14:val="standardContextual"/>
        </w:rPr>
        <w:t>:</w:t>
      </w:r>
    </w:p>
    <w:p w14:paraId="68DCF163" w14:textId="1CAD4522" w:rsidR="00A40442" w:rsidRPr="00A40442" w:rsidRDefault="00A40442" w:rsidP="00683F64">
      <w:pPr>
        <w:pStyle w:val="a9"/>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"ואפילו אם ייחדה לו. ר"ל, כיון שידוע שבא עליה הוי כעדים כמו שכתבו </w:t>
      </w:r>
      <w:proofErr w:type="spellStart"/>
      <w:r w:rsidRPr="00A40442">
        <w:rPr>
          <w:rFonts w:eastAsia="Times New Roman"/>
          <w:sz w:val="28"/>
          <w:rtl/>
          <w:lang w:eastAsia="he-IL"/>
          <w14:ligatures w14:val="standardContextual"/>
        </w:rPr>
        <w:t>התוס</w:t>
      </w:r>
      <w:proofErr w:type="spellEnd"/>
      <w:r w:rsidRPr="00A40442">
        <w:rPr>
          <w:rFonts w:eastAsia="Times New Roman"/>
          <w:sz w:val="28"/>
          <w:rtl/>
          <w:lang w:eastAsia="he-IL"/>
          <w14:ligatures w14:val="standardContextual"/>
        </w:rPr>
        <w:t xml:space="preserve">' ביבמות נ"ב: </w:t>
      </w:r>
      <w:proofErr w:type="spellStart"/>
      <w:r w:rsidRPr="00A40442">
        <w:rPr>
          <w:rFonts w:eastAsia="Times New Roman"/>
          <w:sz w:val="28"/>
          <w:rtl/>
          <w:lang w:eastAsia="he-IL"/>
          <w14:ligatures w14:val="standardContextual"/>
        </w:rPr>
        <w:t>ובגיטין</w:t>
      </w:r>
      <w:proofErr w:type="spellEnd"/>
      <w:r w:rsidRPr="00A40442">
        <w:rPr>
          <w:rFonts w:eastAsia="Times New Roman"/>
          <w:sz w:val="28"/>
          <w:rtl/>
          <w:lang w:eastAsia="he-IL"/>
          <w14:ligatures w14:val="standardContextual"/>
        </w:rPr>
        <w:t xml:space="preserve"> כ"ו: ד"ה </w:t>
      </w:r>
      <w:proofErr w:type="spellStart"/>
      <w:r w:rsidRPr="00A40442">
        <w:rPr>
          <w:rFonts w:eastAsia="Times New Roman"/>
          <w:sz w:val="28"/>
          <w:rtl/>
          <w:lang w:eastAsia="he-IL"/>
          <w14:ligatures w14:val="standardContextual"/>
        </w:rPr>
        <w:t>לכשאכנסנה</w:t>
      </w:r>
      <w:proofErr w:type="spellEnd"/>
      <w:r w:rsidRPr="00A40442">
        <w:rPr>
          <w:rFonts w:eastAsia="Times New Roman"/>
          <w:sz w:val="28"/>
          <w:rtl/>
          <w:lang w:eastAsia="he-IL"/>
          <w14:ligatures w14:val="standardContextual"/>
        </w:rPr>
        <w:t xml:space="preserve"> </w:t>
      </w:r>
      <w:proofErr w:type="spellStart"/>
      <w:r w:rsidRPr="00A40442">
        <w:rPr>
          <w:rFonts w:eastAsia="Times New Roman"/>
          <w:sz w:val="28"/>
          <w:rtl/>
          <w:lang w:eastAsia="he-IL"/>
          <w14:ligatures w14:val="standardContextual"/>
        </w:rPr>
        <w:t>וכו</w:t>
      </w:r>
      <w:proofErr w:type="spellEnd"/>
      <w:r w:rsidRPr="00A40442">
        <w:rPr>
          <w:rFonts w:eastAsia="Times New Roman"/>
          <w:sz w:val="28"/>
          <w:rtl/>
          <w:lang w:eastAsia="he-IL"/>
          <w14:ligatures w14:val="standardContextual"/>
        </w:rPr>
        <w:t xml:space="preserve">', ואמרי' ביבמות ק"י וכתובות ע"ג המקדש את הקטנה וגדלה וכו' דאף על גב </w:t>
      </w:r>
      <w:proofErr w:type="spellStart"/>
      <w:r w:rsidRPr="00A40442">
        <w:rPr>
          <w:rFonts w:eastAsia="Times New Roman"/>
          <w:sz w:val="28"/>
          <w:rtl/>
          <w:lang w:eastAsia="he-IL"/>
          <w14:ligatures w14:val="standardContextual"/>
        </w:rPr>
        <w:t>דבעל</w:t>
      </w:r>
      <w:proofErr w:type="spellEnd"/>
      <w:r w:rsidRPr="00A40442">
        <w:rPr>
          <w:rFonts w:eastAsia="Times New Roman"/>
          <w:sz w:val="28"/>
          <w:rtl/>
          <w:lang w:eastAsia="he-IL"/>
          <w14:ligatures w14:val="standardContextual"/>
        </w:rPr>
        <w:t xml:space="preserve"> בלא עידי יחוד כיון </w:t>
      </w:r>
      <w:proofErr w:type="spellStart"/>
      <w:r w:rsidRPr="00A40442">
        <w:rPr>
          <w:rFonts w:eastAsia="Times New Roman"/>
          <w:sz w:val="28"/>
          <w:rtl/>
          <w:lang w:eastAsia="he-IL"/>
          <w14:ligatures w14:val="standardContextual"/>
        </w:rPr>
        <w:t>דידוע</w:t>
      </w:r>
      <w:proofErr w:type="spellEnd"/>
      <w:r w:rsidRPr="00A40442">
        <w:rPr>
          <w:rFonts w:eastAsia="Times New Roman"/>
          <w:sz w:val="28"/>
          <w:rtl/>
          <w:lang w:eastAsia="he-IL"/>
          <w14:ligatures w14:val="standardContextual"/>
        </w:rPr>
        <w:t xml:space="preserve"> שמתייחדת עמו ודאי לשם קידושין בעל... מ"מ כאן </w:t>
      </w:r>
      <w:proofErr w:type="spellStart"/>
      <w:r w:rsidRPr="00A40442">
        <w:rPr>
          <w:rFonts w:eastAsia="Times New Roman"/>
          <w:sz w:val="28"/>
          <w:rtl/>
          <w:lang w:eastAsia="he-IL"/>
          <w14:ligatures w14:val="standardContextual"/>
        </w:rPr>
        <w:t>דלאו</w:t>
      </w:r>
      <w:proofErr w:type="spellEnd"/>
      <w:r w:rsidRPr="00A40442">
        <w:rPr>
          <w:rFonts w:eastAsia="Times New Roman"/>
          <w:sz w:val="28"/>
          <w:rtl/>
          <w:lang w:eastAsia="he-IL"/>
          <w14:ligatures w14:val="standardContextual"/>
        </w:rPr>
        <w:t xml:space="preserve"> לשם קידושין בעל לאו כלום הוא, כנ"ל". </w:t>
      </w:r>
    </w:p>
    <w:p w14:paraId="648630CA" w14:textId="77777777" w:rsidR="004E057B"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זו היא כוונתו של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 xml:space="preserve"> בדבריו בסימן קמ"ט המציין לסימן כ"ו.</w:t>
      </w:r>
      <w:r w:rsidRPr="00A40442">
        <w:rPr>
          <w:rFonts w:eastAsia="Times New Roman"/>
          <w:sz w:val="28"/>
          <w:rtl/>
          <w:lang w:eastAsia="he-IL"/>
          <w14:ligatures w14:val="standardContextual"/>
        </w:rPr>
        <w:tab/>
      </w:r>
      <w:r w:rsidRPr="00A40442">
        <w:rPr>
          <w:rFonts w:eastAsia="Times New Roman"/>
          <w:sz w:val="28"/>
          <w:rtl/>
          <w:lang w:eastAsia="he-IL"/>
          <w14:ligatures w14:val="standardContextual"/>
        </w:rPr>
        <w:br/>
        <w:t xml:space="preserve">ממה שנפסק בסי' כ"ו למדנו כי "ייחדה לו" כלומר ייחד אותה לו בקביעות כדרך בעל ואשה, ולא בדרך מקרית, הרי זה כאילו בא עליה בעדים, עיין מה שכתב שם בביאור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 xml:space="preserve"> בסי' כ"ו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ג', "אף על גב </w:t>
      </w:r>
      <w:proofErr w:type="spellStart"/>
      <w:r w:rsidRPr="00A40442">
        <w:rPr>
          <w:rFonts w:eastAsia="Times New Roman"/>
          <w:sz w:val="28"/>
          <w:rtl/>
          <w:lang w:eastAsia="he-IL"/>
          <w14:ligatures w14:val="standardContextual"/>
        </w:rPr>
        <w:t>דבעל</w:t>
      </w:r>
      <w:proofErr w:type="spellEnd"/>
      <w:r w:rsidRPr="00A40442">
        <w:rPr>
          <w:rFonts w:eastAsia="Times New Roman"/>
          <w:sz w:val="28"/>
          <w:rtl/>
          <w:lang w:eastAsia="he-IL"/>
          <w14:ligatures w14:val="standardContextual"/>
        </w:rPr>
        <w:t xml:space="preserve"> בלא עדי יחוד"</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אלא ששם בסימן כ"ו עדיין אין בזה כלום, הואיל ויש צורך בכוונה לקידושין, וכוונה זו אינה מוכחת באיש ואשה בעלמא שחיים יחד בלי קידושין גם אם הם מייחדים עצמם זה לזו בקביעות כבעל ואשה </w:t>
      </w:r>
      <w:r w:rsidRPr="0041649A">
        <w:rPr>
          <w:rFonts w:eastAsia="Times New Roman"/>
          <w:sz w:val="28"/>
          <w:szCs w:val="24"/>
          <w:rtl/>
          <w:lang w:eastAsia="he-IL"/>
          <w14:ligatures w14:val="standardContextual"/>
        </w:rPr>
        <w:t>(ידועים בציבור)</w:t>
      </w:r>
      <w:r w:rsidRPr="00A40442">
        <w:rPr>
          <w:rFonts w:eastAsia="Times New Roman"/>
          <w:sz w:val="28"/>
          <w:rtl/>
          <w:lang w:eastAsia="he-IL"/>
          <w14:ligatures w14:val="standardContextual"/>
        </w:rPr>
        <w:t>.</w:t>
      </w:r>
    </w:p>
    <w:p w14:paraId="19553784" w14:textId="77777777" w:rsidR="004E057B"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אולם, בהלכה שבסימן קמ"ט באיש ואשה שהתגרשו, שחזקה כאשר הוא בא עליה כוונת שניהם לקידושין וחזרה לחיי נישואין, ולכן גם כאשר אין עדים על הביאה, אלא שהוא מייחד אותה לו בקביעות, הרי זה גלוי וידוע לכל שבא עליה, ולכן הרי זה כעדות על ביאה לשם קידושין, ואלו קידושי</w:t>
      </w:r>
      <w:r w:rsidR="004E057B">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ודאי.</w:t>
      </w:r>
    </w:p>
    <w:p w14:paraId="1DBF07A0" w14:textId="77777777" w:rsidR="004E057B"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lastRenderedPageBreak/>
        <w:t xml:space="preserve"> עד כאן פירוש דבריו של</w:t>
      </w:r>
      <w:r w:rsidR="004E057B">
        <w:rPr>
          <w:rFonts w:eastAsia="Times New Roman" w:hint="cs"/>
          <w:sz w:val="28"/>
          <w:rtl/>
          <w:lang w:eastAsia="he-IL"/>
          <w14:ligatures w14:val="standardContextual"/>
        </w:rPr>
        <w:t xml:space="preserve">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w:t>
      </w:r>
    </w:p>
    <w:p w14:paraId="7F255E4B" w14:textId="6955984C"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מעתה נבין את פירוש דבריו של </w:t>
      </w:r>
      <w:proofErr w:type="spellStart"/>
      <w:r w:rsidRPr="00A40442">
        <w:rPr>
          <w:rFonts w:eastAsia="Times New Roman"/>
          <w:sz w:val="28"/>
          <w:rtl/>
          <w:lang w:eastAsia="he-IL"/>
          <w14:ligatures w14:val="standardContextual"/>
        </w:rPr>
        <w:t>הרמ"א</w:t>
      </w:r>
      <w:proofErr w:type="spellEnd"/>
      <w:r w:rsidRPr="00A40442">
        <w:rPr>
          <w:rFonts w:eastAsia="Times New Roman"/>
          <w:sz w:val="28"/>
          <w:rtl/>
          <w:lang w:eastAsia="he-IL"/>
          <w14:ligatures w14:val="standardContextual"/>
        </w:rPr>
        <w:t xml:space="preserve"> "כגון שנשאה", כלומר, שייחד אותה לו כאשתו בקביעות, ומשום כך זה נעשה גלוי לכל שהוא בא עליה, ובגרושתו הרי הביאה היא לשם קידושין והיא מקודשת בקידושי ודאי.</w:t>
      </w:r>
    </w:p>
    <w:p w14:paraId="579F62B3" w14:textId="1E600380"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ראה בתשובת "חוט המשולש" </w:t>
      </w:r>
      <w:r w:rsidRPr="0041649A">
        <w:rPr>
          <w:rFonts w:eastAsia="Times New Roman"/>
          <w:sz w:val="28"/>
          <w:szCs w:val="24"/>
          <w:rtl/>
          <w:lang w:eastAsia="he-IL"/>
          <w14:ligatures w14:val="standardContextual"/>
        </w:rPr>
        <w:t xml:space="preserve">(לרבי חיים </w:t>
      </w:r>
      <w:proofErr w:type="spellStart"/>
      <w:r w:rsidRPr="0041649A">
        <w:rPr>
          <w:rFonts w:eastAsia="Times New Roman"/>
          <w:sz w:val="28"/>
          <w:szCs w:val="24"/>
          <w:rtl/>
          <w:lang w:eastAsia="he-IL"/>
          <w14:ligatures w14:val="standardContextual"/>
        </w:rPr>
        <w:t>מוואלז'ין</w:t>
      </w:r>
      <w:proofErr w:type="spellEnd"/>
      <w:r w:rsidRPr="0041649A">
        <w:rPr>
          <w:rFonts w:eastAsia="Times New Roman"/>
          <w:sz w:val="28"/>
          <w:szCs w:val="24"/>
          <w:rtl/>
          <w:lang w:eastAsia="he-IL"/>
          <w14:ligatures w14:val="standardContextual"/>
        </w:rPr>
        <w:t xml:space="preserve"> תלמידו של </w:t>
      </w:r>
      <w:proofErr w:type="spellStart"/>
      <w:r w:rsidRPr="0041649A">
        <w:rPr>
          <w:rFonts w:eastAsia="Times New Roman"/>
          <w:sz w:val="28"/>
          <w:szCs w:val="24"/>
          <w:rtl/>
          <w:lang w:eastAsia="he-IL"/>
          <w14:ligatures w14:val="standardContextual"/>
        </w:rPr>
        <w:t>הגר"א</w:t>
      </w:r>
      <w:proofErr w:type="spellEnd"/>
      <w:r w:rsidRPr="0041649A">
        <w:rPr>
          <w:rFonts w:eastAsia="Times New Roman"/>
          <w:sz w:val="28"/>
          <w:szCs w:val="24"/>
          <w:rtl/>
          <w:lang w:eastAsia="he-IL"/>
          <w14:ligatures w14:val="standardContextual"/>
        </w:rPr>
        <w:t>)</w:t>
      </w:r>
      <w:r w:rsidRPr="00A40442">
        <w:rPr>
          <w:rFonts w:eastAsia="Times New Roman"/>
          <w:sz w:val="28"/>
          <w:rtl/>
          <w:lang w:eastAsia="he-IL"/>
          <w14:ligatures w14:val="standardContextual"/>
        </w:rPr>
        <w:t xml:space="preserve"> סימן י' המפרש את דברי </w:t>
      </w:r>
      <w:proofErr w:type="spellStart"/>
      <w:r w:rsidRPr="00A40442">
        <w:rPr>
          <w:rFonts w:eastAsia="Times New Roman"/>
          <w:sz w:val="28"/>
          <w:rtl/>
          <w:lang w:eastAsia="he-IL"/>
          <w14:ligatures w14:val="standardContextual"/>
        </w:rPr>
        <w:t>הרמ"א</w:t>
      </w:r>
      <w:proofErr w:type="spellEnd"/>
      <w:r w:rsidRPr="00A40442">
        <w:rPr>
          <w:rFonts w:eastAsia="Times New Roman"/>
          <w:sz w:val="28"/>
          <w:rtl/>
          <w:lang w:eastAsia="he-IL"/>
          <w14:ligatures w14:val="standardContextual"/>
        </w:rPr>
        <w:t xml:space="preserve"> על פי דברי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 xml:space="preserve">. דברי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 xml:space="preserve"> בחידושיו מובאים על דברי הגמרא כתובות דף ע"ג. לעניין קטנה יתומה מאב שנישאה על ידי אמה או אחיה ולא מיאנה והגדילה, עמדה ונשאת לאחר, רב אמרה אין צריכה גט משני, היות והראשון בא עליה אחר שהגדילה הרי קידש אותה בביאה זו בגדלותה, ולכן אין קידושי שני תופסים בה. כותב על כך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 xml:space="preserve"> וזו לשונו</w:t>
      </w:r>
      <w:r w:rsidR="004E057B">
        <w:rPr>
          <w:rFonts w:eastAsia="Times New Roman" w:hint="cs"/>
          <w:sz w:val="28"/>
          <w:rtl/>
          <w:lang w:eastAsia="he-IL"/>
          <w14:ligatures w14:val="standardContextual"/>
        </w:rPr>
        <w:t>:</w:t>
      </w:r>
    </w:p>
    <w:p w14:paraId="189A45D2" w14:textId="77777777" w:rsidR="00A40442"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"ואף על פי שהמקדש בלא עדים אין חוששים לקידושיו, הכא כיוון דהוי מילתא דכולי עלמא ידעי בה כולי עלמא סהדי."   </w:t>
      </w:r>
    </w:p>
    <w:p w14:paraId="71754621" w14:textId="29844378"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וראה שם בגמ' כתובות בשיטה מקובצת בשם </w:t>
      </w:r>
      <w:proofErr w:type="spellStart"/>
      <w:r w:rsidRPr="00A40442">
        <w:rPr>
          <w:rFonts w:eastAsia="Times New Roman"/>
          <w:sz w:val="28"/>
          <w:rtl/>
          <w:lang w:eastAsia="he-IL"/>
          <w14:ligatures w14:val="standardContextual"/>
        </w:rPr>
        <w:t>הריב"ש</w:t>
      </w:r>
      <w:proofErr w:type="spellEnd"/>
      <w:r w:rsidRPr="00A40442">
        <w:rPr>
          <w:rFonts w:eastAsia="Times New Roman"/>
          <w:sz w:val="28"/>
          <w:rtl/>
          <w:lang w:eastAsia="he-IL"/>
          <w14:ligatures w14:val="standardContextual"/>
        </w:rPr>
        <w:t xml:space="preserve"> שמביא את שיטת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 xml:space="preserve">, וזו לשון </w:t>
      </w:r>
      <w:proofErr w:type="spellStart"/>
      <w:r w:rsidRPr="00A40442">
        <w:rPr>
          <w:rFonts w:eastAsia="Times New Roman"/>
          <w:sz w:val="28"/>
          <w:rtl/>
          <w:lang w:eastAsia="he-IL"/>
          <w14:ligatures w14:val="standardContextual"/>
        </w:rPr>
        <w:t>השיטמ"ק</w:t>
      </w:r>
      <w:proofErr w:type="spellEnd"/>
      <w:r w:rsidR="004E057B">
        <w:rPr>
          <w:rFonts w:eastAsia="Times New Roman" w:hint="cs"/>
          <w:sz w:val="28"/>
          <w:rtl/>
          <w:lang w:eastAsia="he-IL"/>
          <w14:ligatures w14:val="standardContextual"/>
        </w:rPr>
        <w:t>:</w:t>
      </w:r>
    </w:p>
    <w:p w14:paraId="3B104CB6" w14:textId="521D17AD" w:rsidR="00A40442" w:rsidRPr="00D83DAA" w:rsidRDefault="004E057B" w:rsidP="00683F64">
      <w:pPr>
        <w:pStyle w:val="a9"/>
        <w:rPr>
          <w:rFonts w:eastAsia="Times New Roman"/>
          <w:sz w:val="28"/>
          <w:rtl/>
          <w:lang w:eastAsia="he-IL"/>
          <w14:ligatures w14:val="standardContextual"/>
        </w:rPr>
      </w:pPr>
      <w:r w:rsidRPr="00D83DAA">
        <w:rPr>
          <w:rFonts w:eastAsia="Times New Roman" w:hint="cs"/>
          <w:sz w:val="28"/>
          <w:rtl/>
          <w:lang w:eastAsia="he-IL"/>
          <w14:ligatures w14:val="standardContextual"/>
        </w:rPr>
        <w:t>"</w:t>
      </w:r>
      <w:proofErr w:type="spellStart"/>
      <w:r w:rsidR="00A40442" w:rsidRPr="00D83DAA">
        <w:rPr>
          <w:rFonts w:eastAsia="Times New Roman"/>
          <w:sz w:val="28"/>
          <w:rtl/>
          <w:lang w:eastAsia="he-IL"/>
          <w14:ligatures w14:val="standardContextual"/>
        </w:rPr>
        <w:t>והרא"ה</w:t>
      </w:r>
      <w:proofErr w:type="spellEnd"/>
      <w:r w:rsidR="00A40442" w:rsidRPr="00D83DAA">
        <w:rPr>
          <w:rFonts w:eastAsia="Times New Roman"/>
          <w:sz w:val="28"/>
          <w:rtl/>
          <w:lang w:eastAsia="he-IL"/>
          <w14:ligatures w14:val="standardContextual"/>
        </w:rPr>
        <w:t xml:space="preserve"> כתב </w:t>
      </w:r>
      <w:proofErr w:type="spellStart"/>
      <w:r w:rsidR="00A40442" w:rsidRPr="00D83DAA">
        <w:rPr>
          <w:rFonts w:eastAsia="Times New Roman"/>
          <w:sz w:val="28"/>
          <w:rtl/>
          <w:lang w:eastAsia="he-IL"/>
          <w14:ligatures w14:val="standardContextual"/>
        </w:rPr>
        <w:t>דכיון</w:t>
      </w:r>
      <w:proofErr w:type="spellEnd"/>
      <w:r w:rsidR="00A40442" w:rsidRPr="00D83DAA">
        <w:rPr>
          <w:rFonts w:eastAsia="Times New Roman"/>
          <w:sz w:val="28"/>
          <w:rtl/>
          <w:lang w:eastAsia="he-IL"/>
          <w14:ligatures w14:val="standardContextual"/>
        </w:rPr>
        <w:t xml:space="preserve"> </w:t>
      </w:r>
      <w:proofErr w:type="spellStart"/>
      <w:r w:rsidR="00A40442" w:rsidRPr="00D83DAA">
        <w:rPr>
          <w:rFonts w:eastAsia="Times New Roman"/>
          <w:sz w:val="28"/>
          <w:rtl/>
          <w:lang w:eastAsia="he-IL"/>
          <w14:ligatures w14:val="standardContextual"/>
        </w:rPr>
        <w:t>דאשתו</w:t>
      </w:r>
      <w:proofErr w:type="spellEnd"/>
      <w:r w:rsidR="00A40442" w:rsidRPr="00D83DAA">
        <w:rPr>
          <w:rFonts w:eastAsia="Times New Roman"/>
          <w:sz w:val="28"/>
          <w:rtl/>
          <w:lang w:eastAsia="he-IL"/>
          <w14:ligatures w14:val="standardContextual"/>
        </w:rPr>
        <w:t xml:space="preserve"> היא ועומדת עמו, אפילו לעדי יחוד אינה צריכה, דכולי עלמא ידעי שנתייחד עמה ובא עליה."</w:t>
      </w:r>
    </w:p>
    <w:p w14:paraId="7B5BAB2B" w14:textId="3A21CB98"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פירוש דברי של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 xml:space="preserve">, יתומה קטנה שנישאת על ידי אימה או אחיה שנישואיה חלים רק מדרבנן, וכאשר נעשתה גדולה </w:t>
      </w:r>
      <w:proofErr w:type="spellStart"/>
      <w:r w:rsidRPr="00A40442">
        <w:rPr>
          <w:rFonts w:eastAsia="Times New Roman"/>
          <w:sz w:val="28"/>
          <w:rtl/>
          <w:lang w:eastAsia="he-IL"/>
          <w14:ligatures w14:val="standardContextual"/>
        </w:rPr>
        <w:t>שהיתה</w:t>
      </w:r>
      <w:proofErr w:type="spellEnd"/>
      <w:r w:rsidRPr="00A40442">
        <w:rPr>
          <w:rFonts w:eastAsia="Times New Roman"/>
          <w:sz w:val="28"/>
          <w:rtl/>
          <w:lang w:eastAsia="he-IL"/>
          <w14:ligatures w14:val="standardContextual"/>
        </w:rPr>
        <w:t xml:space="preserve"> לה את אפשרות למאן בהמשך נישואיה לאותו איש</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מאחר וכאמור הם רק נישואין מדרבנן ולצאת מיד מנישואים אלו ללא צורך בגט, ולא עשתה כן, אלא נשארה לחיות עם בעלה לאחר שגדלה</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מעתה היא כבר נעשית לו נשואה מהתורה, מפני שעצם הדבר שהם ממשיכים לחיות כבעל ואישה</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דהיינו שברור שהאיש בא עליה לאחר שגדלה וכוונתו בביאה זו לקדש אותה, הרי זה קידושין גמורים מהתורה. אך עדיין לצורך תחולתם של קידושין חובה שיהיו עדים ולא היו כאן עדים</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מסביר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 מאחר וכל העולם יודע שנתייחד עמה</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אין צורך בשני עדים מפי שיש כאן "אנן סהדי", פירוש, כאשר הדבר ידוע לכל העולם הרי זה יותר משני עדים.  </w:t>
      </w:r>
    </w:p>
    <w:p w14:paraId="06C294A6" w14:textId="5EA9F7F2"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בשני המקרים, בעל ואישה שהתגרשו וחזרו לחיות ביחד כבעל ואישה ללא חופה וקידושין, וכן בקטנה </w:t>
      </w:r>
      <w:proofErr w:type="spellStart"/>
      <w:r w:rsidRPr="00A40442">
        <w:rPr>
          <w:rFonts w:eastAsia="Times New Roman"/>
          <w:sz w:val="28"/>
          <w:rtl/>
          <w:lang w:eastAsia="he-IL"/>
          <w14:ligatures w14:val="standardContextual"/>
        </w:rPr>
        <w:t>שהיתה</w:t>
      </w:r>
      <w:proofErr w:type="spellEnd"/>
      <w:r w:rsidRPr="00A40442">
        <w:rPr>
          <w:rFonts w:eastAsia="Times New Roman"/>
          <w:sz w:val="28"/>
          <w:rtl/>
          <w:lang w:eastAsia="he-IL"/>
          <w14:ligatures w14:val="standardContextual"/>
        </w:rPr>
        <w:t xml:space="preserve"> נשואה לאיש רק מדרבנן ולאחר שהגדילה המשיכה לחיות עמו כבעל ואישה, מאחר ובשני המקרים היו נישואין בעבר</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אם במקרה של בעל ואישה שהתגרשו, אם במקרה של קטנה </w:t>
      </w:r>
      <w:proofErr w:type="spellStart"/>
      <w:r w:rsidRPr="00A40442">
        <w:rPr>
          <w:rFonts w:eastAsia="Times New Roman"/>
          <w:sz w:val="28"/>
          <w:rtl/>
          <w:lang w:eastAsia="he-IL"/>
          <w14:ligatures w14:val="standardContextual"/>
        </w:rPr>
        <w:t>שהיתה</w:t>
      </w:r>
      <w:proofErr w:type="spellEnd"/>
      <w:r w:rsidRPr="00A40442">
        <w:rPr>
          <w:rFonts w:eastAsia="Times New Roman"/>
          <w:sz w:val="28"/>
          <w:rtl/>
          <w:lang w:eastAsia="he-IL"/>
          <w14:ligatures w14:val="standardContextual"/>
        </w:rPr>
        <w:t xml:space="preserve"> נשואה מדרבנן, והמשיכה לחיות עם אותו </w:t>
      </w:r>
      <w:r w:rsidR="004E057B">
        <w:rPr>
          <w:rFonts w:eastAsia="Times New Roman" w:hint="cs"/>
          <w:sz w:val="28"/>
          <w:rtl/>
          <w:lang w:eastAsia="he-IL"/>
          <w14:ligatures w14:val="standardContextual"/>
        </w:rPr>
        <w:t>איש</w:t>
      </w:r>
      <w:r w:rsidRPr="00A40442">
        <w:rPr>
          <w:rFonts w:eastAsia="Times New Roman"/>
          <w:sz w:val="28"/>
          <w:rtl/>
          <w:lang w:eastAsia="he-IL"/>
          <w14:ligatures w14:val="standardContextual"/>
        </w:rPr>
        <w:t xml:space="preserve"> גם לאחר שגדלה, אנו יוצאים בהנחה פשוטה שקיום היחסים ביניהם הוא לשם קידושין</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היות ובוודאי הם רצו לחזור ולחיות כבעל ואישה או במקרה של קטנה להמשיך ולחיות כבעל ואישה.   </w:t>
      </w:r>
    </w:p>
    <w:p w14:paraId="71CD59E0" w14:textId="61B7EC45"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מקרה זהה נוסף נמצא </w:t>
      </w:r>
      <w:proofErr w:type="spellStart"/>
      <w:r w:rsidRPr="00A40442">
        <w:rPr>
          <w:rFonts w:eastAsia="Times New Roman"/>
          <w:sz w:val="28"/>
          <w:rtl/>
          <w:lang w:eastAsia="he-IL"/>
          <w14:ligatures w14:val="standardContextual"/>
        </w:rPr>
        <w:t>ברמ"א</w:t>
      </w:r>
      <w:proofErr w:type="spellEnd"/>
      <w:r w:rsidRPr="00A40442">
        <w:rPr>
          <w:rFonts w:eastAsia="Times New Roman"/>
          <w:sz w:val="28"/>
          <w:rtl/>
          <w:lang w:eastAsia="he-IL"/>
          <w14:ligatures w14:val="standardContextual"/>
        </w:rPr>
        <w:t xml:space="preserve"> בשולחן ערוך אבן העזר סימן ל"א סעיף ט' שפסק</w:t>
      </w:r>
      <w:r w:rsidR="004E057B">
        <w:rPr>
          <w:rFonts w:eastAsia="Times New Roman" w:hint="cs"/>
          <w:sz w:val="28"/>
          <w:rtl/>
          <w:lang w:eastAsia="he-IL"/>
          <w14:ligatures w14:val="standardContextual"/>
        </w:rPr>
        <w:t>:</w:t>
      </w:r>
    </w:p>
    <w:p w14:paraId="6DFDE1B4" w14:textId="77777777" w:rsidR="00A40442"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"והוא הדין קטן שנתקדש ונתגדל אצלה צריכה גט, דודאי בעל כשהגדיל לשם קידושין."  </w:t>
      </w:r>
    </w:p>
    <w:p w14:paraId="3FC8B5FE" w14:textId="77777777" w:rsidR="00A40442" w:rsidRPr="00A40442" w:rsidRDefault="00A40442" w:rsidP="00683F64">
      <w:pPr>
        <w:pStyle w:val="ae"/>
        <w:rPr>
          <w:rFonts w:eastAsia="Times New Roman"/>
          <w:b/>
          <w:bCs/>
          <w:sz w:val="28"/>
          <w:rtl/>
          <w:lang w:eastAsia="he-IL"/>
          <w14:ligatures w14:val="standardContextual"/>
        </w:rPr>
      </w:pPr>
      <w:r w:rsidRPr="00A40442">
        <w:rPr>
          <w:rFonts w:eastAsia="Times New Roman"/>
          <w:sz w:val="28"/>
          <w:rtl/>
          <w:lang w:eastAsia="he-IL"/>
          <w14:ligatures w14:val="standardContextual"/>
        </w:rPr>
        <w:t xml:space="preserve">כלומר, קטן שקידש אישה שאין קידושיו קידושין, והמשיכו לחיות ביחד גם לאחר שגדל הקטן, פוסק </w:t>
      </w:r>
      <w:proofErr w:type="spellStart"/>
      <w:r w:rsidRPr="00A40442">
        <w:rPr>
          <w:rFonts w:eastAsia="Times New Roman"/>
          <w:sz w:val="28"/>
          <w:rtl/>
          <w:lang w:eastAsia="he-IL"/>
          <w14:ligatures w14:val="standardContextual"/>
        </w:rPr>
        <w:t>הרמ"א</w:t>
      </w:r>
      <w:proofErr w:type="spellEnd"/>
      <w:r w:rsidRPr="00A40442">
        <w:rPr>
          <w:rFonts w:eastAsia="Times New Roman"/>
          <w:sz w:val="28"/>
          <w:rtl/>
          <w:lang w:eastAsia="he-IL"/>
          <w14:ligatures w14:val="standardContextual"/>
        </w:rPr>
        <w:t xml:space="preserve"> שהיא אשת איש גמורה, ואם תתגרש צריכה גט גמור. </w:t>
      </w:r>
      <w:r w:rsidRPr="00A40442">
        <w:rPr>
          <w:rFonts w:eastAsia="Times New Roman"/>
          <w:b/>
          <w:bCs/>
          <w:sz w:val="28"/>
          <w:rtl/>
          <w:lang w:eastAsia="he-IL"/>
          <w14:ligatures w14:val="standardContextual"/>
        </w:rPr>
        <w:t xml:space="preserve">      </w:t>
      </w:r>
    </w:p>
    <w:p w14:paraId="11FAB801" w14:textId="67F0004F"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מפרש "החוט המשולש" שאין צריך לשום עדים, אלא משגדל הקטן אצלה אנו קובעים בוודאות שהוא בעל אותה לשם קידושין, אף על פי שזו אינה ביאה ראשונה, הרי כבר בעל אותה בקטנותו, מכל מקום אנן סהדי על הייחוד והביאה </w:t>
      </w:r>
      <w:r w:rsidRPr="0041649A">
        <w:rPr>
          <w:rFonts w:eastAsia="Times New Roman"/>
          <w:sz w:val="28"/>
          <w:szCs w:val="24"/>
          <w:rtl/>
          <w:lang w:eastAsia="he-IL"/>
          <w14:ligatures w14:val="standardContextual"/>
        </w:rPr>
        <w:t xml:space="preserve">(אנן סהדי, פירושו שגלוי וידוע לכל העולם שהוא בא </w:t>
      </w:r>
      <w:r w:rsidRPr="0041649A">
        <w:rPr>
          <w:rFonts w:eastAsia="Times New Roman"/>
          <w:sz w:val="28"/>
          <w:szCs w:val="24"/>
          <w:rtl/>
          <w:lang w:eastAsia="he-IL"/>
          <w14:ligatures w14:val="standardContextual"/>
        </w:rPr>
        <w:lastRenderedPageBreak/>
        <w:t>עליה לאחר שהגדיל)</w:t>
      </w:r>
      <w:r w:rsidR="00D61AF5">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ידיעה ברורה זו מהווה עדות לצורך עדים לקידושין, מקרה זה הוא כעין המקרה שהבאנו לעיל בקטנה שגדלה אצל האיש שקידשה בהיותה קטנה וגדלה אצלו.</w:t>
      </w:r>
    </w:p>
    <w:p w14:paraId="5A71B2F6" w14:textId="485F40A6"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"החוט המשולש" בפירושם של שתי ההלכות המובאות </w:t>
      </w:r>
      <w:proofErr w:type="spellStart"/>
      <w:r w:rsidRPr="00A40442">
        <w:rPr>
          <w:rFonts w:eastAsia="Times New Roman"/>
          <w:sz w:val="28"/>
          <w:rtl/>
          <w:lang w:eastAsia="he-IL"/>
          <w14:ligatures w14:val="standardContextual"/>
        </w:rPr>
        <w:t>ברמ"א</w:t>
      </w:r>
      <w:proofErr w:type="spellEnd"/>
      <w:r w:rsidRPr="00A40442">
        <w:rPr>
          <w:rFonts w:eastAsia="Times New Roman"/>
          <w:sz w:val="28"/>
          <w:rtl/>
          <w:lang w:eastAsia="he-IL"/>
          <w14:ligatures w14:val="standardContextual"/>
        </w:rPr>
        <w:t>, בסימן קמ"ט הנ"ל וכן את ההלכה בסימן ל"א</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הולך בשיטת רבו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 xml:space="preserve">. וכך כותב בביאור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 xml:space="preserve"> שם בסימן ל"א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כ'</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w:t>
      </w:r>
    </w:p>
    <w:p w14:paraId="56EB74D6" w14:textId="77777777" w:rsidR="00A40442"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"דודאי בעל </w:t>
      </w:r>
      <w:proofErr w:type="spellStart"/>
      <w:r w:rsidRPr="00D83DAA">
        <w:rPr>
          <w:rFonts w:eastAsia="Times New Roman"/>
          <w:sz w:val="28"/>
          <w:rtl/>
          <w:lang w:eastAsia="he-IL"/>
          <w14:ligatures w14:val="standardContextual"/>
        </w:rPr>
        <w:t>וכו</w:t>
      </w:r>
      <w:proofErr w:type="spellEnd"/>
      <w:r w:rsidRPr="00D83DAA">
        <w:rPr>
          <w:rFonts w:eastAsia="Times New Roman"/>
          <w:sz w:val="28"/>
          <w:rtl/>
          <w:lang w:eastAsia="he-IL"/>
          <w14:ligatures w14:val="standardContextual"/>
        </w:rPr>
        <w:t xml:space="preserve">', רוצה לומר, אע"ג </w:t>
      </w:r>
      <w:proofErr w:type="spellStart"/>
      <w:r w:rsidRPr="00D83DAA">
        <w:rPr>
          <w:rFonts w:eastAsia="Times New Roman"/>
          <w:sz w:val="28"/>
          <w:rtl/>
          <w:lang w:eastAsia="he-IL"/>
          <w14:ligatures w14:val="standardContextual"/>
        </w:rPr>
        <w:t>דליכא</w:t>
      </w:r>
      <w:proofErr w:type="spellEnd"/>
      <w:r w:rsidRPr="00D83DAA">
        <w:rPr>
          <w:rFonts w:eastAsia="Times New Roman"/>
          <w:sz w:val="28"/>
          <w:rtl/>
          <w:lang w:eastAsia="he-IL"/>
          <w14:ligatures w14:val="standardContextual"/>
        </w:rPr>
        <w:t xml:space="preserve"> עדים בביאתו ולא </w:t>
      </w:r>
      <w:proofErr w:type="spellStart"/>
      <w:r w:rsidRPr="00D83DAA">
        <w:rPr>
          <w:rFonts w:eastAsia="Times New Roman"/>
          <w:sz w:val="28"/>
          <w:rtl/>
          <w:lang w:eastAsia="he-IL"/>
          <w14:ligatures w14:val="standardContextual"/>
        </w:rPr>
        <w:t>ביחודו</w:t>
      </w:r>
      <w:proofErr w:type="spellEnd"/>
      <w:r w:rsidRPr="00D83DAA">
        <w:rPr>
          <w:rFonts w:eastAsia="Times New Roman"/>
          <w:sz w:val="28"/>
          <w:rtl/>
          <w:lang w:eastAsia="he-IL"/>
          <w14:ligatures w14:val="standardContextual"/>
        </w:rPr>
        <w:t xml:space="preserve">, כמ"ש בסי' כ"ו סעיף א'" </w:t>
      </w:r>
    </w:p>
    <w:p w14:paraId="21EE1E0B" w14:textId="77777777" w:rsidR="00A40442" w:rsidRPr="00A40442" w:rsidRDefault="00A40442" w:rsidP="00683F64">
      <w:pPr>
        <w:pStyle w:val="ae"/>
        <w:rPr>
          <w:rFonts w:eastAsia="Times New Roman"/>
          <w:b/>
          <w:bCs/>
          <w:sz w:val="28"/>
          <w:rtl/>
          <w:lang w:eastAsia="he-IL"/>
          <w14:ligatures w14:val="standardContextual"/>
        </w:rPr>
      </w:pPr>
      <w:r w:rsidRPr="00A40442">
        <w:rPr>
          <w:rFonts w:eastAsia="Times New Roman"/>
          <w:sz w:val="28"/>
          <w:rtl/>
          <w:lang w:eastAsia="he-IL"/>
          <w14:ligatures w14:val="standardContextual"/>
        </w:rPr>
        <w:t xml:space="preserve">פירוש דבריו, בדרים ביחד כבעל ואשה אין צורך בעדים, וכמו בקטנה שהגדילה אין צורך בעדים כנ"ל, וכפי שכתב </w:t>
      </w:r>
      <w:proofErr w:type="spellStart"/>
      <w:r w:rsidRPr="00A40442">
        <w:rPr>
          <w:rFonts w:eastAsia="Times New Roman"/>
          <w:sz w:val="28"/>
          <w:rtl/>
          <w:lang w:eastAsia="he-IL"/>
          <w14:ligatures w14:val="standardContextual"/>
        </w:rPr>
        <w:t>הגר"א</w:t>
      </w:r>
      <w:proofErr w:type="spellEnd"/>
      <w:r w:rsidRPr="00A40442">
        <w:rPr>
          <w:rFonts w:eastAsia="Times New Roman"/>
          <w:sz w:val="28"/>
          <w:rtl/>
          <w:lang w:eastAsia="he-IL"/>
          <w14:ligatures w14:val="standardContextual"/>
        </w:rPr>
        <w:t xml:space="preserve"> בס' כ"ו סעיף א'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ג' שהבאנו לעיל. </w:t>
      </w:r>
    </w:p>
    <w:p w14:paraId="47035FD7" w14:textId="759D386C"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בהמשך דבריו שם כותב "החוט המשולש" בתשובתו</w:t>
      </w:r>
      <w:r w:rsidR="004E057B">
        <w:rPr>
          <w:rFonts w:eastAsia="Times New Roman" w:hint="cs"/>
          <w:sz w:val="28"/>
          <w:rtl/>
          <w:lang w:eastAsia="he-IL"/>
          <w14:ligatures w14:val="standardContextual"/>
        </w:rPr>
        <w:t>:</w:t>
      </w:r>
    </w:p>
    <w:p w14:paraId="67809EC2" w14:textId="77777777" w:rsidR="00A40442"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"ואשימה עיני על משמעות דברי הפוסקים בזה. והנה רובם ככולם נוטה משמעות דבריהם לדעת </w:t>
      </w:r>
      <w:proofErr w:type="spellStart"/>
      <w:r w:rsidRPr="00D83DAA">
        <w:rPr>
          <w:rFonts w:eastAsia="Times New Roman"/>
          <w:sz w:val="28"/>
          <w:rtl/>
          <w:lang w:eastAsia="he-IL"/>
          <w14:ligatures w14:val="standardContextual"/>
        </w:rPr>
        <w:t>הרא"ה</w:t>
      </w:r>
      <w:proofErr w:type="spellEnd"/>
      <w:r w:rsidRPr="00D83DAA">
        <w:rPr>
          <w:rFonts w:eastAsia="Times New Roman"/>
          <w:sz w:val="28"/>
          <w:rtl/>
          <w:lang w:eastAsia="he-IL"/>
          <w14:ligatures w14:val="standardContextual"/>
        </w:rPr>
        <w:t xml:space="preserve">, והנה כבר הבאתי משמעות דעת הרמב"ם מדבריו בשני מקומות. מפרק ז' מהלכות </w:t>
      </w:r>
      <w:proofErr w:type="spellStart"/>
      <w:r w:rsidRPr="00D83DAA">
        <w:rPr>
          <w:rFonts w:eastAsia="Times New Roman"/>
          <w:sz w:val="28"/>
          <w:rtl/>
          <w:lang w:eastAsia="he-IL"/>
          <w14:ligatures w14:val="standardContextual"/>
        </w:rPr>
        <w:t>יבום</w:t>
      </w:r>
      <w:proofErr w:type="spellEnd"/>
      <w:r w:rsidRPr="00D83DAA">
        <w:rPr>
          <w:rFonts w:eastAsia="Times New Roman"/>
          <w:sz w:val="28"/>
          <w:rtl/>
          <w:lang w:eastAsia="he-IL"/>
          <w14:ligatures w14:val="standardContextual"/>
        </w:rPr>
        <w:t xml:space="preserve"> הלכה י"ד, שכתב </w:t>
      </w:r>
      <w:proofErr w:type="spellStart"/>
      <w:r w:rsidRPr="00D83DAA">
        <w:rPr>
          <w:rFonts w:eastAsia="Times New Roman"/>
          <w:sz w:val="28"/>
          <w:rtl/>
          <w:lang w:eastAsia="he-IL"/>
          <w14:ligatures w14:val="standardContextual"/>
        </w:rPr>
        <w:t>סתמא</w:t>
      </w:r>
      <w:proofErr w:type="spellEnd"/>
      <w:r w:rsidRPr="00D83DAA">
        <w:rPr>
          <w:rFonts w:eastAsia="Times New Roman"/>
          <w:sz w:val="28"/>
          <w:rtl/>
          <w:lang w:eastAsia="he-IL"/>
          <w14:ligatures w14:val="standardContextual"/>
        </w:rPr>
        <w:t xml:space="preserve"> וגדלה אצלו ולא נקט ונבעלה. וכן </w:t>
      </w:r>
      <w:proofErr w:type="spellStart"/>
      <w:r w:rsidRPr="00D83DAA">
        <w:rPr>
          <w:rFonts w:eastAsia="Times New Roman"/>
          <w:sz w:val="28"/>
          <w:rtl/>
          <w:lang w:eastAsia="he-IL"/>
          <w14:ligatures w14:val="standardContextual"/>
        </w:rPr>
        <w:t>מהך</w:t>
      </w:r>
      <w:proofErr w:type="spellEnd"/>
      <w:r w:rsidRPr="00D83DAA">
        <w:rPr>
          <w:rFonts w:eastAsia="Times New Roman"/>
          <w:sz w:val="28"/>
          <w:rtl/>
          <w:lang w:eastAsia="he-IL"/>
          <w14:ligatures w14:val="standardContextual"/>
        </w:rPr>
        <w:t xml:space="preserve"> </w:t>
      </w:r>
      <w:proofErr w:type="spellStart"/>
      <w:r w:rsidRPr="00D83DAA">
        <w:rPr>
          <w:rFonts w:eastAsia="Times New Roman"/>
          <w:sz w:val="28"/>
          <w:rtl/>
          <w:lang w:eastAsia="he-IL"/>
          <w14:ligatures w14:val="standardContextual"/>
        </w:rPr>
        <w:t>דפרק</w:t>
      </w:r>
      <w:proofErr w:type="spellEnd"/>
      <w:r w:rsidRPr="00D83DAA">
        <w:rPr>
          <w:rFonts w:eastAsia="Times New Roman"/>
          <w:sz w:val="28"/>
          <w:rtl/>
          <w:lang w:eastAsia="he-IL"/>
          <w14:ligatures w14:val="standardContextual"/>
        </w:rPr>
        <w:t xml:space="preserve"> ד' מאישות הלכה ח', שכתב שאם ישבה עם בעלה עד שגדלה גמרו הקידושין, הרי </w:t>
      </w:r>
      <w:proofErr w:type="spellStart"/>
      <w:r w:rsidRPr="00D83DAA">
        <w:rPr>
          <w:rFonts w:eastAsia="Times New Roman"/>
          <w:sz w:val="28"/>
          <w:rtl/>
          <w:lang w:eastAsia="he-IL"/>
          <w14:ligatures w14:val="standardContextual"/>
        </w:rPr>
        <w:t>דבשני</w:t>
      </w:r>
      <w:proofErr w:type="spellEnd"/>
      <w:r w:rsidRPr="00D83DAA">
        <w:rPr>
          <w:rFonts w:eastAsia="Times New Roman"/>
          <w:sz w:val="28"/>
          <w:rtl/>
          <w:lang w:eastAsia="he-IL"/>
          <w14:ligatures w14:val="standardContextual"/>
        </w:rPr>
        <w:t xml:space="preserve"> המקומות לא הזכיר עדי יחוד ולא עדי ביאה כלל, אלא </w:t>
      </w:r>
      <w:proofErr w:type="spellStart"/>
      <w:r w:rsidRPr="00D83DAA">
        <w:rPr>
          <w:rFonts w:eastAsia="Times New Roman"/>
          <w:sz w:val="28"/>
          <w:rtl/>
          <w:lang w:eastAsia="he-IL"/>
          <w14:ligatures w14:val="standardContextual"/>
        </w:rPr>
        <w:t>דסגי</w:t>
      </w:r>
      <w:proofErr w:type="spellEnd"/>
      <w:r w:rsidRPr="00D83DAA">
        <w:rPr>
          <w:rFonts w:eastAsia="Times New Roman"/>
          <w:sz w:val="28"/>
          <w:rtl/>
          <w:lang w:eastAsia="he-IL"/>
          <w14:ligatures w14:val="standardContextual"/>
        </w:rPr>
        <w:t xml:space="preserve"> במה שגדלה אצלו ויושבת עמו בדרים יחד אנן סהדי </w:t>
      </w:r>
      <w:proofErr w:type="spellStart"/>
      <w:r w:rsidRPr="00D83DAA">
        <w:rPr>
          <w:rFonts w:eastAsia="Times New Roman"/>
          <w:sz w:val="28"/>
          <w:rtl/>
          <w:lang w:eastAsia="he-IL"/>
          <w14:ligatures w14:val="standardContextual"/>
        </w:rPr>
        <w:t>דנבעלה</w:t>
      </w:r>
      <w:proofErr w:type="spellEnd"/>
      <w:r w:rsidRPr="00D83DAA">
        <w:rPr>
          <w:rFonts w:eastAsia="Times New Roman"/>
          <w:sz w:val="28"/>
          <w:rtl/>
          <w:lang w:eastAsia="he-IL"/>
          <w14:ligatures w14:val="standardContextual"/>
        </w:rPr>
        <w:t xml:space="preserve">." </w:t>
      </w:r>
    </w:p>
    <w:p w14:paraId="4C5768A5" w14:textId="79A24FED" w:rsidR="00A40442" w:rsidRPr="00A40442" w:rsidRDefault="00D61AF5" w:rsidP="00683F64">
      <w:pPr>
        <w:pStyle w:val="ae"/>
        <w:rPr>
          <w:rFonts w:eastAsia="Times New Roman"/>
          <w:sz w:val="28"/>
          <w:rtl/>
          <w:lang w:eastAsia="he-IL"/>
          <w14:ligatures w14:val="standardContextual"/>
        </w:rPr>
      </w:pPr>
      <w:r w:rsidRPr="004E057B">
        <w:rPr>
          <w:rFonts w:eastAsia="Times New Roman" w:hint="cs"/>
          <w:sz w:val="32"/>
          <w:rtl/>
          <w:lang w:eastAsia="he-IL"/>
          <w14:ligatures w14:val="standardContextual"/>
        </w:rPr>
        <w:t>(</w:t>
      </w:r>
      <w:r w:rsidR="00A40442" w:rsidRPr="004E057B">
        <w:rPr>
          <w:rFonts w:eastAsia="Times New Roman"/>
          <w:sz w:val="32"/>
          <w:rtl/>
          <w:lang w:eastAsia="he-IL"/>
          <w14:ligatures w14:val="standardContextual"/>
        </w:rPr>
        <w:t xml:space="preserve">ראה תשובת זכר יצחק </w:t>
      </w:r>
      <w:r w:rsidR="00A40442" w:rsidRPr="0041649A">
        <w:rPr>
          <w:rFonts w:eastAsia="Times New Roman"/>
          <w:sz w:val="28"/>
          <w:szCs w:val="24"/>
          <w:rtl/>
          <w:lang w:eastAsia="he-IL"/>
          <w14:ligatures w14:val="standardContextual"/>
        </w:rPr>
        <w:t xml:space="preserve">(לרבי איצלה </w:t>
      </w:r>
      <w:proofErr w:type="spellStart"/>
      <w:r w:rsidR="00A40442" w:rsidRPr="0041649A">
        <w:rPr>
          <w:rFonts w:eastAsia="Times New Roman"/>
          <w:sz w:val="28"/>
          <w:szCs w:val="24"/>
          <w:rtl/>
          <w:lang w:eastAsia="he-IL"/>
          <w14:ligatures w14:val="standardContextual"/>
        </w:rPr>
        <w:t>מפוניבז</w:t>
      </w:r>
      <w:proofErr w:type="spellEnd"/>
      <w:r w:rsidR="00A40442" w:rsidRPr="0041649A">
        <w:rPr>
          <w:rFonts w:eastAsia="Times New Roman"/>
          <w:sz w:val="28"/>
          <w:szCs w:val="24"/>
          <w:rtl/>
          <w:lang w:eastAsia="he-IL"/>
          <w14:ligatures w14:val="standardContextual"/>
        </w:rPr>
        <w:t>')</w:t>
      </w:r>
      <w:r w:rsidR="00A40442" w:rsidRPr="00A40442">
        <w:rPr>
          <w:rFonts w:eastAsia="Times New Roman"/>
          <w:sz w:val="28"/>
          <w:rtl/>
          <w:lang w:eastAsia="he-IL"/>
          <w14:ligatures w14:val="standardContextual"/>
        </w:rPr>
        <w:t xml:space="preserve"> סימן י' המביא את דברי הרמב"ם בהלכות גירושין פרק א' הלכה ה'</w:t>
      </w:r>
      <w:r w:rsidR="00D83DAA">
        <w:rPr>
          <w:rFonts w:eastAsia="Times New Roman" w:hint="cs"/>
          <w:sz w:val="28"/>
          <w:rtl/>
          <w:lang w:eastAsia="he-IL"/>
          <w14:ligatures w14:val="standardContextual"/>
        </w:rPr>
        <w:t>:</w:t>
      </w:r>
    </w:p>
    <w:p w14:paraId="5056588F" w14:textId="6E342A8B" w:rsidR="00A40442"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"זה שנאמר בתורה ושלחה מביתו... שאם גירש ולא שלחה מביתו הרי זה כמי שגירש והחזיר גרושתו, לפיכך צריכה ממנו גט כמו שנתבאר."</w:t>
      </w:r>
    </w:p>
    <w:p w14:paraId="1B903EE4" w14:textId="5BEC2241"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מוכיח ה"זכר יצחק" מדברי הרמב"ם אלו שדעת הרמב"ם היא כדעת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 xml:space="preserve"> וזה לשונו</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w:t>
      </w:r>
    </w:p>
    <w:p w14:paraId="07C97B9C" w14:textId="77777777" w:rsidR="00A40442" w:rsidRPr="00D83DAA" w:rsidRDefault="00A40442" w:rsidP="00683F64">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"נראה ברור מדבריו דלא בעי עידי יחוד, רק בזה שהיא בביתו הוי כמו עדי קידושין".    </w:t>
      </w:r>
    </w:p>
    <w:p w14:paraId="5797CDC9" w14:textId="11CDB567" w:rsidR="00A40442" w:rsidRPr="00A40442" w:rsidRDefault="00A40442" w:rsidP="00683F64">
      <w:pPr>
        <w:pStyle w:val="ae"/>
        <w:rPr>
          <w:rFonts w:eastAsia="Times New Roman"/>
          <w:b/>
          <w:bCs/>
          <w:sz w:val="28"/>
          <w:rtl/>
          <w:lang w:eastAsia="he-IL"/>
          <w14:ligatures w14:val="standardContextual"/>
        </w:rPr>
      </w:pPr>
      <w:r w:rsidRPr="00A40442">
        <w:rPr>
          <w:rFonts w:eastAsia="Times New Roman"/>
          <w:sz w:val="28"/>
          <w:rtl/>
          <w:lang w:eastAsia="he-IL"/>
          <w14:ligatures w14:val="standardContextual"/>
        </w:rPr>
        <w:t>כלומר, אם נתן גט לאשתו ועם קבלת הגט היא המשיכה לשהות עמו באותו בית, הרי זה כמו שהחזיר גרושתו וצריכה היא ממנו גט נוסף. מכאן מוכח שעצם המשך השהיה המשותפת בבית למרות שניתן גט, הוי כאילו קידשה מחדש מעצם העובדה שהיא ממשיכה להתגורר עמו בבית הרי זה כמו עדי קידושין.</w:t>
      </w:r>
      <w:r w:rsidR="00D61AF5">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w:t>
      </w:r>
      <w:r w:rsidRPr="00A40442">
        <w:rPr>
          <w:rFonts w:eastAsia="Times New Roman"/>
          <w:b/>
          <w:bCs/>
          <w:sz w:val="28"/>
          <w:rtl/>
          <w:lang w:eastAsia="he-IL"/>
          <w14:ligatures w14:val="standardContextual"/>
        </w:rPr>
        <w:t xml:space="preserve"> </w:t>
      </w:r>
    </w:p>
    <w:p w14:paraId="6732D54D" w14:textId="1A598984"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אמנם הבית יוסף באבן העזר סימן קמ"ט וכן בסוף סימן קנ"ה מביא תשובת </w:t>
      </w:r>
      <w:proofErr w:type="spellStart"/>
      <w:r w:rsidRPr="00A40442">
        <w:rPr>
          <w:rFonts w:eastAsia="Times New Roman"/>
          <w:sz w:val="28"/>
          <w:rtl/>
          <w:lang w:eastAsia="he-IL"/>
          <w14:ligatures w14:val="standardContextual"/>
        </w:rPr>
        <w:t>הריב"ש</w:t>
      </w:r>
      <w:proofErr w:type="spellEnd"/>
      <w:r w:rsidRPr="00A40442">
        <w:rPr>
          <w:rFonts w:eastAsia="Times New Roman"/>
          <w:sz w:val="28"/>
          <w:rtl/>
          <w:lang w:eastAsia="he-IL"/>
          <w14:ligatures w14:val="standardContextual"/>
        </w:rPr>
        <w:t xml:space="preserve"> סימן ו' שחולק על </w:t>
      </w:r>
      <w:proofErr w:type="spellStart"/>
      <w:r w:rsidRPr="00A40442">
        <w:rPr>
          <w:rFonts w:eastAsia="Times New Roman"/>
          <w:sz w:val="28"/>
          <w:rtl/>
          <w:lang w:eastAsia="he-IL"/>
          <w14:ligatures w14:val="standardContextual"/>
        </w:rPr>
        <w:t>הרא"ה</w:t>
      </w:r>
      <w:proofErr w:type="spellEnd"/>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וכותב עליו שזו דעת יחיד וכל הראשונים סוברים שצריך לעדי יחוד ולא סגי </w:t>
      </w:r>
      <w:proofErr w:type="spellStart"/>
      <w:r w:rsidRPr="00A40442">
        <w:rPr>
          <w:rFonts w:eastAsia="Times New Roman"/>
          <w:sz w:val="28"/>
          <w:rtl/>
          <w:lang w:eastAsia="he-IL"/>
          <w14:ligatures w14:val="standardContextual"/>
        </w:rPr>
        <w:t>באנן</w:t>
      </w:r>
      <w:proofErr w:type="spellEnd"/>
      <w:r w:rsidRPr="00A40442">
        <w:rPr>
          <w:rFonts w:eastAsia="Times New Roman"/>
          <w:sz w:val="28"/>
          <w:rtl/>
          <w:lang w:eastAsia="he-IL"/>
          <w14:ligatures w14:val="standardContextual"/>
        </w:rPr>
        <w:t xml:space="preserve"> סהדי </w:t>
      </w:r>
      <w:r w:rsidRPr="0041649A">
        <w:rPr>
          <w:rFonts w:eastAsia="Times New Roman"/>
          <w:sz w:val="28"/>
          <w:szCs w:val="24"/>
          <w:rtl/>
          <w:lang w:eastAsia="he-IL"/>
          <w14:ligatures w14:val="standardContextual"/>
        </w:rPr>
        <w:t>(שכל העולם יודע)</w:t>
      </w:r>
      <w:r w:rsidRPr="00A40442">
        <w:rPr>
          <w:rFonts w:eastAsia="Times New Roman"/>
          <w:sz w:val="28"/>
          <w:rtl/>
          <w:lang w:eastAsia="he-IL"/>
          <w14:ligatures w14:val="standardContextual"/>
        </w:rPr>
        <w:t xml:space="preserve">. כותב בתשובת "החוט המשולש" הנ"ל הסבר מעניין להסביר את אותה דעה החולקת על </w:t>
      </w:r>
      <w:proofErr w:type="spellStart"/>
      <w:r w:rsidRPr="00A40442">
        <w:rPr>
          <w:rFonts w:eastAsia="Times New Roman"/>
          <w:sz w:val="28"/>
          <w:rtl/>
          <w:lang w:eastAsia="he-IL"/>
          <w14:ligatures w14:val="standardContextual"/>
        </w:rPr>
        <w:t>הרא"ה</w:t>
      </w:r>
      <w:proofErr w:type="spellEnd"/>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ואכתוב את תוכן את</w:t>
      </w:r>
      <w:r w:rsidR="00683F64">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דבריו.</w:t>
      </w:r>
    </w:p>
    <w:p w14:paraId="04220083" w14:textId="1C6BBB17"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וזה תוכן דברי "החוט המשולש": אף על פי שתמיד אנו קובעים שבדבר הידוע לכל העולם אין צורך בעדים, ואפילו אם יש עדים שאומרים ההיפך</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אין אומרים תרי עדים כמאה עדים</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כפי שכותב </w:t>
      </w:r>
      <w:proofErr w:type="spellStart"/>
      <w:r w:rsidRPr="00A40442">
        <w:rPr>
          <w:rFonts w:eastAsia="Times New Roman"/>
          <w:sz w:val="28"/>
          <w:rtl/>
          <w:lang w:eastAsia="he-IL"/>
          <w14:ligatures w14:val="standardContextual"/>
        </w:rPr>
        <w:t>הש"ך</w:t>
      </w:r>
      <w:proofErr w:type="spellEnd"/>
      <w:r w:rsidRPr="00A40442">
        <w:rPr>
          <w:rFonts w:eastAsia="Times New Roman"/>
          <w:sz w:val="28"/>
          <w:rtl/>
          <w:lang w:eastAsia="he-IL"/>
          <w14:ligatures w14:val="standardContextual"/>
        </w:rPr>
        <w:t xml:space="preserve"> בחושן משפט סימן מ"ו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מ"ט, מכל מקום דין קידושין שונה, היות ובקידושין בעינן עדים שיתכוונו </w:t>
      </w:r>
      <w:proofErr w:type="spellStart"/>
      <w:r w:rsidRPr="00A40442">
        <w:rPr>
          <w:rFonts w:eastAsia="Times New Roman"/>
          <w:sz w:val="28"/>
          <w:rtl/>
          <w:lang w:eastAsia="he-IL"/>
          <w14:ligatures w14:val="standardContextual"/>
        </w:rPr>
        <w:t>ליחוד</w:t>
      </w:r>
      <w:proofErr w:type="spellEnd"/>
      <w:r w:rsidRPr="00A40442">
        <w:rPr>
          <w:rFonts w:eastAsia="Times New Roman"/>
          <w:sz w:val="28"/>
          <w:rtl/>
          <w:lang w:eastAsia="he-IL"/>
          <w14:ligatures w14:val="standardContextual"/>
        </w:rPr>
        <w:t xml:space="preserve"> של האיש והאישה וידעו שלשם קידושין הוא בועל, ולכן מה בכך שידוע לכל העולם </w:t>
      </w:r>
      <w:proofErr w:type="spellStart"/>
      <w:r w:rsidRPr="00A40442">
        <w:rPr>
          <w:rFonts w:eastAsia="Times New Roman"/>
          <w:sz w:val="28"/>
          <w:rtl/>
          <w:lang w:eastAsia="he-IL"/>
          <w14:ligatures w14:val="standardContextual"/>
        </w:rPr>
        <w:t>שנתייחדו</w:t>
      </w:r>
      <w:proofErr w:type="spellEnd"/>
      <w:r w:rsidRPr="00A40442">
        <w:rPr>
          <w:rFonts w:eastAsia="Times New Roman"/>
          <w:sz w:val="28"/>
          <w:rtl/>
          <w:lang w:eastAsia="he-IL"/>
          <w14:ligatures w14:val="standardContextual"/>
        </w:rPr>
        <w:t xml:space="preserve"> זה עם זה ודרים כבעל ואשה</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מכל מקום אין איש שם לב על עסקי הקידושין הנעשים ביחוד הזה, עד כאן תוכן דברי ה"חוט המשולש".</w:t>
      </w:r>
    </w:p>
    <w:p w14:paraId="6D1AEB11" w14:textId="347A9D8F"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ביאור דבריו</w:t>
      </w:r>
      <w:r w:rsidR="004E057B">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דין עדי קידושין אינם ככל דין עדות. בדין עדי קידושין קיימת הלכה ספציפית שלא מספיק שהעדים יודעים או רואים שהאיש והאישה חיים ביחד, אלא העדים צריכים להתכוון </w:t>
      </w:r>
      <w:r w:rsidRPr="00A40442">
        <w:rPr>
          <w:rFonts w:eastAsia="Times New Roman"/>
          <w:sz w:val="28"/>
          <w:rtl/>
          <w:lang w:eastAsia="he-IL"/>
          <w14:ligatures w14:val="standardContextual"/>
        </w:rPr>
        <w:lastRenderedPageBreak/>
        <w:t xml:space="preserve">שהאיש והאישה חיים ביחד כדי להעיד שיש כאן מעשה קידושין, שזה שכל העולם יודע </w:t>
      </w:r>
      <w:r w:rsidRPr="0041649A">
        <w:rPr>
          <w:rFonts w:eastAsia="Times New Roman"/>
          <w:sz w:val="28"/>
          <w:szCs w:val="24"/>
          <w:rtl/>
          <w:lang w:eastAsia="he-IL"/>
          <w14:ligatures w14:val="standardContextual"/>
        </w:rPr>
        <w:t>(אנן סהדי)</w:t>
      </w:r>
      <w:r w:rsidRPr="00A40442">
        <w:rPr>
          <w:rFonts w:eastAsia="Times New Roman"/>
          <w:sz w:val="28"/>
          <w:rtl/>
          <w:lang w:eastAsia="he-IL"/>
          <w14:ligatures w14:val="standardContextual"/>
        </w:rPr>
        <w:t xml:space="preserve"> שהם חיים ביחד זה לא מספיק להחיל דין קידושין עליהם. כך מסביר ה"חוט המשולש" את </w:t>
      </w:r>
      <w:proofErr w:type="spellStart"/>
      <w:r w:rsidRPr="00A40442">
        <w:rPr>
          <w:rFonts w:eastAsia="Times New Roman"/>
          <w:sz w:val="28"/>
          <w:rtl/>
          <w:lang w:eastAsia="he-IL"/>
          <w14:ligatures w14:val="standardContextual"/>
        </w:rPr>
        <w:t>הריב"ש</w:t>
      </w:r>
      <w:proofErr w:type="spellEnd"/>
      <w:r w:rsidRPr="00A40442">
        <w:rPr>
          <w:rFonts w:eastAsia="Times New Roman"/>
          <w:sz w:val="28"/>
          <w:rtl/>
          <w:lang w:eastAsia="he-IL"/>
          <w14:ligatures w14:val="standardContextual"/>
        </w:rPr>
        <w:t xml:space="preserve"> החולק על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w:t>
      </w:r>
    </w:p>
    <w:p w14:paraId="1643150D" w14:textId="77777777" w:rsidR="00683F64"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בהמשך דבריו כותב ה"חוט המשולש", שהלכה למעשה </w:t>
      </w:r>
      <w:proofErr w:type="spellStart"/>
      <w:r w:rsidRPr="00A40442">
        <w:rPr>
          <w:rFonts w:eastAsia="Times New Roman"/>
          <w:sz w:val="28"/>
          <w:rtl/>
          <w:lang w:eastAsia="he-IL"/>
          <w14:ligatures w14:val="standardContextual"/>
        </w:rPr>
        <w:t>הריב"ש</w:t>
      </w:r>
      <w:proofErr w:type="spellEnd"/>
      <w:r w:rsidRPr="00A40442">
        <w:rPr>
          <w:rFonts w:eastAsia="Times New Roman"/>
          <w:sz w:val="28"/>
          <w:rtl/>
          <w:lang w:eastAsia="he-IL"/>
          <w14:ligatures w14:val="standardContextual"/>
        </w:rPr>
        <w:t xml:space="preserve"> בתשובותיו סימן קצ"ג פוסק כדעת </w:t>
      </w:r>
      <w:proofErr w:type="spellStart"/>
      <w:r w:rsidRPr="00A40442">
        <w:rPr>
          <w:rFonts w:eastAsia="Times New Roman"/>
          <w:sz w:val="28"/>
          <w:rtl/>
          <w:lang w:eastAsia="he-IL"/>
          <w14:ligatures w14:val="standardContextual"/>
        </w:rPr>
        <w:t>הרא"ה</w:t>
      </w:r>
      <w:proofErr w:type="spellEnd"/>
      <w:r w:rsidRPr="00A40442">
        <w:rPr>
          <w:rFonts w:eastAsia="Times New Roman"/>
          <w:sz w:val="28"/>
          <w:rtl/>
          <w:lang w:eastAsia="he-IL"/>
          <w14:ligatures w14:val="standardContextual"/>
        </w:rPr>
        <w:t>.</w:t>
      </w:r>
    </w:p>
    <w:p w14:paraId="29789030" w14:textId="4B2B3F30" w:rsidR="00A40442" w:rsidRPr="00A40442" w:rsidRDefault="00A40442" w:rsidP="00683F64">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מכל חבל הקדמונים והפוסקים שליקטנו למדנו שלושה דברים יסודיים</w:t>
      </w:r>
      <w:r w:rsidR="00683F64">
        <w:rPr>
          <w:rFonts w:eastAsia="Times New Roman" w:hint="cs"/>
          <w:sz w:val="28"/>
          <w:rtl/>
          <w:lang w:eastAsia="he-IL"/>
          <w14:ligatures w14:val="standardContextual"/>
        </w:rPr>
        <w:t>:</w:t>
      </w:r>
    </w:p>
    <w:p w14:paraId="0ECFD94B" w14:textId="77777777" w:rsidR="00E059A5" w:rsidRDefault="00A40442" w:rsidP="00E059A5">
      <w:pPr>
        <w:pStyle w:val="a8"/>
        <w:numPr>
          <w:ilvl w:val="0"/>
          <w:numId w:val="8"/>
        </w:numPr>
        <w:rPr>
          <w:lang w:eastAsia="he-IL"/>
        </w:rPr>
      </w:pPr>
      <w:r w:rsidRPr="00A40442">
        <w:rPr>
          <w:rtl/>
          <w:lang w:eastAsia="he-IL"/>
        </w:rPr>
        <w:t>איש ואישה שהיו נשואים התגרשו וחזרו לחיות יחד כבעל ואישה, ברור הדבר שהם קיימו ביניהם יחסי אישות.</w:t>
      </w:r>
    </w:p>
    <w:p w14:paraId="0BD330AA" w14:textId="77777777" w:rsidR="00E059A5" w:rsidRPr="00E059A5" w:rsidRDefault="00A40442" w:rsidP="00E059A5">
      <w:pPr>
        <w:pStyle w:val="a8"/>
        <w:numPr>
          <w:ilvl w:val="0"/>
          <w:numId w:val="8"/>
        </w:numPr>
        <w:rPr>
          <w:lang w:eastAsia="he-IL"/>
        </w:rPr>
      </w:pPr>
      <w:r w:rsidRPr="00E059A5">
        <w:rPr>
          <w:rFonts w:eastAsia="Times New Roman"/>
          <w:kern w:val="28"/>
          <w:sz w:val="28"/>
          <w:rtl/>
          <w:lang w:eastAsia="he-IL"/>
          <w14:ligatures w14:val="standardContextual"/>
        </w:rPr>
        <w:t xml:space="preserve">גרוש הבא על גרושתו חזקה היא ששניהם התכוונו לשם קידושין.  </w:t>
      </w:r>
    </w:p>
    <w:p w14:paraId="48FF0DCA" w14:textId="2CDF4127" w:rsidR="00A40442" w:rsidRPr="00E059A5" w:rsidRDefault="00A40442" w:rsidP="00E059A5">
      <w:pPr>
        <w:pStyle w:val="a8"/>
        <w:numPr>
          <w:ilvl w:val="0"/>
          <w:numId w:val="8"/>
        </w:numPr>
        <w:rPr>
          <w:lang w:eastAsia="he-IL"/>
        </w:rPr>
      </w:pPr>
      <w:r w:rsidRPr="00E059A5">
        <w:rPr>
          <w:rFonts w:eastAsia="Times New Roman"/>
          <w:kern w:val="28"/>
          <w:sz w:val="28"/>
          <w:rtl/>
          <w:lang w:eastAsia="he-IL"/>
          <w14:ligatures w14:val="standardContextual"/>
        </w:rPr>
        <w:t xml:space="preserve">גרוש וגרושתו המתגוררים יחד ידוע הוא לכל העולם שבא עליה. לכן כולי עלמא עדים הם על הקידושין בביאה, והרי זה כאילו קידשה בנוכחות עדים, ולפיכך גרוש וגרושתו שגרים יחד כבעל ואשה, הרי זה מקודשת לו קידושין וודאי מדין תורה.   </w:t>
      </w:r>
    </w:p>
    <w:p w14:paraId="1950723B" w14:textId="77777777" w:rsidR="00E059A5" w:rsidRDefault="00E059A5" w:rsidP="00E059A5">
      <w:pPr>
        <w:pStyle w:val="ae"/>
        <w:rPr>
          <w:rFonts w:eastAsia="Times New Roman"/>
          <w:sz w:val="28"/>
          <w:rtl/>
          <w:lang w:eastAsia="he-IL"/>
          <w14:ligatures w14:val="standardContextual"/>
        </w:rPr>
      </w:pPr>
    </w:p>
    <w:p w14:paraId="7BC0DD17" w14:textId="144795F4" w:rsidR="00A40442" w:rsidRPr="00A40442" w:rsidRDefault="00A40442" w:rsidP="00E059A5">
      <w:pPr>
        <w:pStyle w:val="ae"/>
        <w:rPr>
          <w:rFonts w:eastAsia="Times New Roman"/>
          <w:sz w:val="28"/>
          <w:lang w:eastAsia="he-IL"/>
          <w14:ligatures w14:val="standardContextual"/>
        </w:rPr>
      </w:pPr>
      <w:r w:rsidRPr="00A40442">
        <w:rPr>
          <w:rFonts w:eastAsia="Times New Roman"/>
          <w:sz w:val="28"/>
          <w:rtl/>
          <w:lang w:eastAsia="he-IL"/>
          <w14:ligatures w14:val="standardContextual"/>
        </w:rPr>
        <w:t>אולם קיימת כאן נקודה משמעותית שעשויה לסייג את הסיכום שאליו הגענו כאמור.</w:t>
      </w:r>
    </w:p>
    <w:p w14:paraId="30EEABF9" w14:textId="77777777" w:rsidR="00A40442" w:rsidRPr="00A40442" w:rsidRDefault="00A40442" w:rsidP="00E059A5">
      <w:pPr>
        <w:pStyle w:val="ae"/>
        <w:rPr>
          <w:rFonts w:eastAsia="Times New Roman"/>
          <w:sz w:val="28"/>
          <w:rtl/>
          <w:lang w:eastAsia="he-IL"/>
          <w14:ligatures w14:val="standardContextual"/>
        </w:rPr>
      </w:pPr>
      <w:proofErr w:type="spellStart"/>
      <w:r w:rsidRPr="00A40442">
        <w:rPr>
          <w:rFonts w:eastAsia="Times New Roman"/>
          <w:sz w:val="28"/>
          <w:rtl/>
          <w:lang w:eastAsia="he-IL"/>
          <w14:ligatures w14:val="standardContextual"/>
        </w:rPr>
        <w:t>הרדב"ז</w:t>
      </w:r>
      <w:proofErr w:type="spellEnd"/>
      <w:r w:rsidRPr="00A40442">
        <w:rPr>
          <w:rFonts w:eastAsia="Times New Roman"/>
          <w:sz w:val="28"/>
          <w:rtl/>
          <w:lang w:eastAsia="he-IL"/>
          <w14:ligatures w14:val="standardContextual"/>
        </w:rPr>
        <w:t xml:space="preserve"> בתשובותיו חלק א' סימן שנ"א כותב את הדברים הבאים:</w:t>
      </w:r>
    </w:p>
    <w:p w14:paraId="4F484998" w14:textId="1EAC7FA6" w:rsidR="00A40442" w:rsidRPr="00D83DAA" w:rsidRDefault="00A40442" w:rsidP="00E059A5">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"ומכאן אתה למד שהמתייחד עם גרושתו והיא </w:t>
      </w:r>
      <w:proofErr w:type="spellStart"/>
      <w:r w:rsidRPr="00D83DAA">
        <w:rPr>
          <w:rFonts w:eastAsia="Times New Roman"/>
          <w:sz w:val="28"/>
          <w:rtl/>
          <w:lang w:eastAsia="he-IL"/>
          <w14:ligatures w14:val="standardContextual"/>
        </w:rPr>
        <w:t>בנדתה</w:t>
      </w:r>
      <w:proofErr w:type="spellEnd"/>
      <w:r w:rsidRPr="00D83DAA">
        <w:rPr>
          <w:rFonts w:eastAsia="Times New Roman"/>
          <w:sz w:val="28"/>
          <w:rtl/>
          <w:lang w:eastAsia="he-IL"/>
          <w14:ligatures w14:val="standardContextual"/>
        </w:rPr>
        <w:t xml:space="preserve"> אינה צריכה גט... </w:t>
      </w:r>
      <w:proofErr w:type="spellStart"/>
      <w:r w:rsidRPr="00D83DAA">
        <w:rPr>
          <w:rFonts w:eastAsia="Times New Roman"/>
          <w:sz w:val="28"/>
          <w:rtl/>
          <w:lang w:eastAsia="he-IL"/>
          <w14:ligatures w14:val="standardContextual"/>
        </w:rPr>
        <w:t>דכיון</w:t>
      </w:r>
      <w:proofErr w:type="spellEnd"/>
      <w:r w:rsidRPr="00D83DAA">
        <w:rPr>
          <w:rFonts w:eastAsia="Times New Roman"/>
          <w:sz w:val="28"/>
          <w:rtl/>
          <w:lang w:eastAsia="he-IL"/>
          <w14:ligatures w14:val="standardContextual"/>
        </w:rPr>
        <w:t xml:space="preserve"> דלא </w:t>
      </w:r>
      <w:proofErr w:type="spellStart"/>
      <w:r w:rsidRPr="00D83DAA">
        <w:rPr>
          <w:rFonts w:eastAsia="Times New Roman"/>
          <w:sz w:val="28"/>
          <w:rtl/>
          <w:lang w:eastAsia="he-IL"/>
          <w14:ligatures w14:val="standardContextual"/>
        </w:rPr>
        <w:t>חייש</w:t>
      </w:r>
      <w:proofErr w:type="spellEnd"/>
      <w:r w:rsidRPr="00D83DAA">
        <w:rPr>
          <w:rFonts w:eastAsia="Times New Roman"/>
          <w:sz w:val="28"/>
          <w:rtl/>
          <w:lang w:eastAsia="he-IL"/>
          <w14:ligatures w14:val="standardContextual"/>
        </w:rPr>
        <w:t xml:space="preserve"> לאיסור כרת לא </w:t>
      </w:r>
      <w:proofErr w:type="spellStart"/>
      <w:r w:rsidRPr="00D83DAA">
        <w:rPr>
          <w:rFonts w:eastAsia="Times New Roman"/>
          <w:sz w:val="28"/>
          <w:rtl/>
          <w:lang w:eastAsia="he-IL"/>
          <w14:ligatures w14:val="standardContextual"/>
        </w:rPr>
        <w:t>חייש</w:t>
      </w:r>
      <w:proofErr w:type="spellEnd"/>
      <w:r w:rsidRPr="00D83DAA">
        <w:rPr>
          <w:rFonts w:eastAsia="Times New Roman"/>
          <w:sz w:val="28"/>
          <w:rtl/>
          <w:lang w:eastAsia="he-IL"/>
          <w14:ligatures w14:val="standardContextual"/>
        </w:rPr>
        <w:t xml:space="preserve"> לבעילת זנות ולא בעל לשם קידושין. וכן הדין במי שהוא פרוץ בעריות ורגיל לבוא ביאות אסורות, </w:t>
      </w:r>
      <w:proofErr w:type="spellStart"/>
      <w:r w:rsidRPr="00D83DAA">
        <w:rPr>
          <w:rFonts w:eastAsia="Times New Roman"/>
          <w:sz w:val="28"/>
          <w:rtl/>
          <w:lang w:eastAsia="he-IL"/>
          <w14:ligatures w14:val="standardContextual"/>
        </w:rPr>
        <w:t>דכיון</w:t>
      </w:r>
      <w:proofErr w:type="spellEnd"/>
      <w:r w:rsidRPr="00D83DAA">
        <w:rPr>
          <w:rFonts w:eastAsia="Times New Roman"/>
          <w:sz w:val="28"/>
          <w:rtl/>
          <w:lang w:eastAsia="he-IL"/>
          <w14:ligatures w14:val="standardContextual"/>
        </w:rPr>
        <w:t xml:space="preserve"> דלא </w:t>
      </w:r>
      <w:proofErr w:type="spellStart"/>
      <w:r w:rsidRPr="00D83DAA">
        <w:rPr>
          <w:rFonts w:eastAsia="Times New Roman"/>
          <w:sz w:val="28"/>
          <w:rtl/>
          <w:lang w:eastAsia="he-IL"/>
          <w14:ligatures w14:val="standardContextual"/>
        </w:rPr>
        <w:t>קפיד</w:t>
      </w:r>
      <w:proofErr w:type="spellEnd"/>
      <w:r w:rsidRPr="00D83DAA">
        <w:rPr>
          <w:rFonts w:eastAsia="Times New Roman"/>
          <w:sz w:val="28"/>
          <w:rtl/>
          <w:lang w:eastAsia="he-IL"/>
          <w14:ligatures w14:val="standardContextual"/>
        </w:rPr>
        <w:t xml:space="preserve"> בהכי לא בעל לשם קידושין, אלא לשם זנות בעלמא...</w:t>
      </w:r>
      <w:r w:rsidR="004E057B" w:rsidRPr="00D83DAA">
        <w:rPr>
          <w:rFonts w:eastAsia="Times New Roman" w:hint="cs"/>
          <w:sz w:val="28"/>
          <w:rtl/>
          <w:lang w:eastAsia="he-IL"/>
          <w14:ligatures w14:val="standardContextual"/>
        </w:rPr>
        <w:t xml:space="preserve"> </w:t>
      </w:r>
      <w:r w:rsidRPr="00D83DAA">
        <w:rPr>
          <w:rFonts w:eastAsia="Times New Roman"/>
          <w:sz w:val="28"/>
          <w:rtl/>
          <w:lang w:eastAsia="he-IL"/>
          <w14:ligatures w14:val="standardContextual"/>
        </w:rPr>
        <w:t xml:space="preserve">" </w:t>
      </w:r>
    </w:p>
    <w:p w14:paraId="233C39C4" w14:textId="39BD06D6"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דעת </w:t>
      </w:r>
      <w:proofErr w:type="spellStart"/>
      <w:r w:rsidRPr="00A40442">
        <w:rPr>
          <w:rFonts w:eastAsia="Times New Roman"/>
          <w:sz w:val="28"/>
          <w:rtl/>
          <w:lang w:eastAsia="he-IL"/>
          <w14:ligatures w14:val="standardContextual"/>
        </w:rPr>
        <w:t>הרדב"ז</w:t>
      </w:r>
      <w:proofErr w:type="spellEnd"/>
      <w:r w:rsidRPr="00A40442">
        <w:rPr>
          <w:rFonts w:eastAsia="Times New Roman"/>
          <w:sz w:val="28"/>
          <w:rtl/>
          <w:lang w:eastAsia="he-IL"/>
          <w14:ligatures w14:val="standardContextual"/>
        </w:rPr>
        <w:t xml:space="preserve">, אימתי </w:t>
      </w:r>
      <w:proofErr w:type="spellStart"/>
      <w:r w:rsidRPr="00A40442">
        <w:rPr>
          <w:rFonts w:eastAsia="Times New Roman"/>
          <w:sz w:val="28"/>
          <w:rtl/>
          <w:lang w:eastAsia="he-IL"/>
          <w14:ligatures w14:val="standardContextual"/>
        </w:rPr>
        <w:t>אמרינן</w:t>
      </w:r>
      <w:proofErr w:type="spellEnd"/>
      <w:r w:rsidRPr="00A40442">
        <w:rPr>
          <w:rFonts w:eastAsia="Times New Roman"/>
          <w:sz w:val="28"/>
          <w:rtl/>
          <w:lang w:eastAsia="he-IL"/>
          <w14:ligatures w14:val="standardContextual"/>
        </w:rPr>
        <w:t xml:space="preserve"> שגרוש הבא על גרושתו חזקה שהתכוונו לקידושין ולא לזנות בעלמא, כשהבעילה נעשית בכשרות</w:t>
      </w:r>
      <w:r w:rsidR="00016E13">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אבל כשהבעילה באיסור כמו הבא על הנדה, אין חזקה שבעל לשם קידושין.  </w:t>
      </w:r>
    </w:p>
    <w:p w14:paraId="5880DD1B" w14:textId="30F96C73"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אלא ששיטת </w:t>
      </w:r>
      <w:proofErr w:type="spellStart"/>
      <w:r w:rsidRPr="00A40442">
        <w:rPr>
          <w:rFonts w:eastAsia="Times New Roman"/>
          <w:sz w:val="28"/>
          <w:rtl/>
          <w:lang w:eastAsia="he-IL"/>
          <w14:ligatures w14:val="standardContextual"/>
        </w:rPr>
        <w:t>הרדב"ז</w:t>
      </w:r>
      <w:proofErr w:type="spellEnd"/>
      <w:r w:rsidRPr="00A40442">
        <w:rPr>
          <w:rFonts w:eastAsia="Times New Roman"/>
          <w:sz w:val="28"/>
          <w:rtl/>
          <w:lang w:eastAsia="he-IL"/>
          <w14:ligatures w14:val="standardContextual"/>
        </w:rPr>
        <w:t xml:space="preserve"> אינה מוסכמת. עיין באבני מילואים סימן ל"ג </w:t>
      </w:r>
      <w:proofErr w:type="spellStart"/>
      <w:r w:rsidRPr="00A40442">
        <w:rPr>
          <w:rFonts w:eastAsia="Times New Roman"/>
          <w:sz w:val="28"/>
          <w:rtl/>
          <w:lang w:eastAsia="he-IL"/>
          <w14:ligatures w14:val="standardContextual"/>
        </w:rPr>
        <w:t>ס"ק</w:t>
      </w:r>
      <w:proofErr w:type="spellEnd"/>
      <w:r w:rsidRPr="00A40442">
        <w:rPr>
          <w:rFonts w:eastAsia="Times New Roman"/>
          <w:sz w:val="28"/>
          <w:rtl/>
          <w:lang w:eastAsia="he-IL"/>
          <w14:ligatures w14:val="standardContextual"/>
        </w:rPr>
        <w:t xml:space="preserve"> א' הביא את דברי </w:t>
      </w:r>
      <w:proofErr w:type="spellStart"/>
      <w:r w:rsidRPr="00A40442">
        <w:rPr>
          <w:rFonts w:eastAsia="Times New Roman"/>
          <w:sz w:val="28"/>
          <w:rtl/>
          <w:lang w:eastAsia="he-IL"/>
          <w14:ligatures w14:val="standardContextual"/>
        </w:rPr>
        <w:t>הרדב"ז</w:t>
      </w:r>
      <w:proofErr w:type="spellEnd"/>
      <w:r w:rsidR="00016E13">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וכותב עליו:</w:t>
      </w:r>
    </w:p>
    <w:p w14:paraId="62AF4AE5" w14:textId="77777777" w:rsidR="00A40442" w:rsidRPr="00D83DAA" w:rsidRDefault="00A40442" w:rsidP="00E059A5">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"ומצאתי </w:t>
      </w:r>
      <w:proofErr w:type="spellStart"/>
      <w:r w:rsidRPr="00D83DAA">
        <w:rPr>
          <w:rFonts w:eastAsia="Times New Roman"/>
          <w:sz w:val="28"/>
          <w:rtl/>
          <w:lang w:eastAsia="he-IL"/>
          <w14:ligatures w14:val="standardContextual"/>
        </w:rPr>
        <w:t>שהרשב"א</w:t>
      </w:r>
      <w:proofErr w:type="spellEnd"/>
      <w:r w:rsidRPr="00D83DAA">
        <w:rPr>
          <w:rFonts w:eastAsia="Times New Roman"/>
          <w:sz w:val="28"/>
          <w:rtl/>
          <w:lang w:eastAsia="he-IL"/>
          <w14:ligatures w14:val="standardContextual"/>
        </w:rPr>
        <w:t xml:space="preserve"> אינו סובר כן. עיין שם בתשובה סימן קפ"א זה לשונו:</w:t>
      </w:r>
    </w:p>
    <w:p w14:paraId="79D91738" w14:textId="4DC7EF72" w:rsidR="00A40442" w:rsidRPr="00D83DAA" w:rsidRDefault="00A40442" w:rsidP="00563C6C">
      <w:pPr>
        <w:pStyle w:val="a9"/>
        <w:ind w:left="1440"/>
        <w:rPr>
          <w:rFonts w:eastAsia="Times New Roman"/>
          <w:sz w:val="28"/>
          <w:rtl/>
          <w:lang w:eastAsia="he-IL"/>
          <w14:ligatures w14:val="standardContextual"/>
        </w:rPr>
      </w:pPr>
      <w:proofErr w:type="spellStart"/>
      <w:r w:rsidRPr="00D83DAA">
        <w:rPr>
          <w:rFonts w:eastAsia="Times New Roman"/>
          <w:sz w:val="28"/>
          <w:rtl/>
          <w:lang w:eastAsia="he-IL"/>
          <w14:ligatures w14:val="standardContextual"/>
        </w:rPr>
        <w:t>אשה</w:t>
      </w:r>
      <w:proofErr w:type="spellEnd"/>
      <w:r w:rsidRPr="00D83DAA">
        <w:rPr>
          <w:rFonts w:eastAsia="Times New Roman"/>
          <w:sz w:val="28"/>
          <w:rtl/>
          <w:lang w:eastAsia="he-IL"/>
          <w14:ligatures w14:val="standardContextual"/>
        </w:rPr>
        <w:t xml:space="preserve"> זו צריכה גט... כיון </w:t>
      </w:r>
      <w:proofErr w:type="spellStart"/>
      <w:r w:rsidRPr="00D83DAA">
        <w:rPr>
          <w:rFonts w:eastAsia="Times New Roman"/>
          <w:sz w:val="28"/>
          <w:rtl/>
          <w:lang w:eastAsia="he-IL"/>
          <w14:ligatures w14:val="standardContextual"/>
        </w:rPr>
        <w:t>שנתייחדה</w:t>
      </w:r>
      <w:proofErr w:type="spellEnd"/>
      <w:r w:rsidRPr="00D83DAA">
        <w:rPr>
          <w:rFonts w:eastAsia="Times New Roman"/>
          <w:sz w:val="28"/>
          <w:rtl/>
          <w:lang w:eastAsia="he-IL"/>
          <w14:ligatures w14:val="standardContextual"/>
        </w:rPr>
        <w:t xml:space="preserve"> עמו... וגמר ובעל לשם קידושין... ואע"פ שאסורה לו... מכל מקום קידושין תופסים בה מן התורה... כמו שאמרנו </w:t>
      </w:r>
      <w:proofErr w:type="spellStart"/>
      <w:r w:rsidRPr="00D83DAA">
        <w:rPr>
          <w:rFonts w:eastAsia="Times New Roman"/>
          <w:sz w:val="28"/>
          <w:rtl/>
          <w:lang w:eastAsia="he-IL"/>
          <w14:ligatures w14:val="standardContextual"/>
        </w:rPr>
        <w:t>שהיחוד</w:t>
      </w:r>
      <w:proofErr w:type="spellEnd"/>
      <w:r w:rsidRPr="00D83DAA">
        <w:rPr>
          <w:rFonts w:eastAsia="Times New Roman"/>
          <w:sz w:val="28"/>
          <w:rtl/>
          <w:lang w:eastAsia="he-IL"/>
          <w14:ligatures w14:val="standardContextual"/>
        </w:rPr>
        <w:t xml:space="preserve"> הרי הוא כביאה.</w:t>
      </w:r>
    </w:p>
    <w:p w14:paraId="185CABFE" w14:textId="5D099F1C" w:rsidR="00A40442" w:rsidRPr="00D83DAA" w:rsidRDefault="00A40442" w:rsidP="00E059A5">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ומבואר </w:t>
      </w:r>
      <w:proofErr w:type="spellStart"/>
      <w:r w:rsidRPr="00D83DAA">
        <w:rPr>
          <w:rFonts w:eastAsia="Times New Roman"/>
          <w:sz w:val="28"/>
          <w:rtl/>
          <w:lang w:eastAsia="he-IL"/>
          <w14:ligatures w14:val="standardContextual"/>
        </w:rPr>
        <w:t>דאפילו</w:t>
      </w:r>
      <w:proofErr w:type="spellEnd"/>
      <w:r w:rsidRPr="00D83DAA">
        <w:rPr>
          <w:rFonts w:eastAsia="Times New Roman"/>
          <w:sz w:val="28"/>
          <w:rtl/>
          <w:lang w:eastAsia="he-IL"/>
          <w14:ligatures w14:val="standardContextual"/>
        </w:rPr>
        <w:t xml:space="preserve"> לא ראינו שנבעלה... ואף על גב </w:t>
      </w:r>
      <w:proofErr w:type="spellStart"/>
      <w:r w:rsidRPr="00D83DAA">
        <w:rPr>
          <w:rFonts w:eastAsia="Times New Roman"/>
          <w:sz w:val="28"/>
          <w:rtl/>
          <w:lang w:eastAsia="he-IL"/>
          <w14:ligatures w14:val="standardContextual"/>
        </w:rPr>
        <w:t>דאסורה</w:t>
      </w:r>
      <w:proofErr w:type="spellEnd"/>
      <w:r w:rsidRPr="00D83DAA">
        <w:rPr>
          <w:rFonts w:eastAsia="Times New Roman"/>
          <w:sz w:val="28"/>
          <w:rtl/>
          <w:lang w:eastAsia="he-IL"/>
          <w14:ligatures w14:val="standardContextual"/>
        </w:rPr>
        <w:t xml:space="preserve"> לו מן התורה... אפילו הכי קידושין תופסים בה ואין אדם עושה בעילתו בעילת זנות וגמר לשם קידושין. ואם כן בנדה נמי </w:t>
      </w:r>
      <w:proofErr w:type="spellStart"/>
      <w:r w:rsidRPr="00D83DAA">
        <w:rPr>
          <w:rFonts w:eastAsia="Times New Roman"/>
          <w:sz w:val="28"/>
          <w:rtl/>
          <w:lang w:eastAsia="he-IL"/>
          <w14:ligatures w14:val="standardContextual"/>
        </w:rPr>
        <w:t>דקידושין</w:t>
      </w:r>
      <w:proofErr w:type="spellEnd"/>
      <w:r w:rsidRPr="00D83DAA">
        <w:rPr>
          <w:rFonts w:eastAsia="Times New Roman"/>
          <w:sz w:val="28"/>
          <w:rtl/>
          <w:lang w:eastAsia="he-IL"/>
          <w14:ligatures w14:val="standardContextual"/>
        </w:rPr>
        <w:t xml:space="preserve"> </w:t>
      </w:r>
      <w:proofErr w:type="spellStart"/>
      <w:r w:rsidRPr="00D83DAA">
        <w:rPr>
          <w:rFonts w:eastAsia="Times New Roman"/>
          <w:sz w:val="28"/>
          <w:rtl/>
          <w:lang w:eastAsia="he-IL"/>
          <w14:ligatures w14:val="standardContextual"/>
        </w:rPr>
        <w:t>תופסין</w:t>
      </w:r>
      <w:proofErr w:type="spellEnd"/>
      <w:r w:rsidRPr="00D83DAA">
        <w:rPr>
          <w:rFonts w:eastAsia="Times New Roman"/>
          <w:sz w:val="28"/>
          <w:rtl/>
          <w:lang w:eastAsia="he-IL"/>
          <w14:ligatures w14:val="standardContextual"/>
        </w:rPr>
        <w:t xml:space="preserve"> בה </w:t>
      </w:r>
      <w:proofErr w:type="spellStart"/>
      <w:r w:rsidRPr="00D83DAA">
        <w:rPr>
          <w:rFonts w:eastAsia="Times New Roman"/>
          <w:sz w:val="28"/>
          <w:rtl/>
          <w:lang w:eastAsia="he-IL"/>
          <w14:ligatures w14:val="standardContextual"/>
        </w:rPr>
        <w:t>אמרינן</w:t>
      </w:r>
      <w:proofErr w:type="spellEnd"/>
      <w:r w:rsidRPr="00D83DAA">
        <w:rPr>
          <w:rFonts w:eastAsia="Times New Roman"/>
          <w:sz w:val="28"/>
          <w:rtl/>
          <w:lang w:eastAsia="he-IL"/>
          <w14:ligatures w14:val="standardContextual"/>
        </w:rPr>
        <w:t xml:space="preserve"> הן </w:t>
      </w:r>
      <w:proofErr w:type="spellStart"/>
      <w:r w:rsidRPr="00D83DAA">
        <w:rPr>
          <w:rFonts w:eastAsia="Times New Roman"/>
          <w:sz w:val="28"/>
          <w:rtl/>
          <w:lang w:eastAsia="he-IL"/>
          <w14:ligatures w14:val="standardContextual"/>
        </w:rPr>
        <w:t>הן</w:t>
      </w:r>
      <w:proofErr w:type="spellEnd"/>
      <w:r w:rsidRPr="00D83DAA">
        <w:rPr>
          <w:rFonts w:eastAsia="Times New Roman"/>
          <w:sz w:val="28"/>
          <w:rtl/>
          <w:lang w:eastAsia="he-IL"/>
          <w14:ligatures w14:val="standardContextual"/>
        </w:rPr>
        <w:t xml:space="preserve"> עדי יחוד וכו' ולא </w:t>
      </w:r>
      <w:proofErr w:type="spellStart"/>
      <w:r w:rsidRPr="00D83DAA">
        <w:rPr>
          <w:rFonts w:eastAsia="Times New Roman"/>
          <w:sz w:val="28"/>
          <w:rtl/>
          <w:lang w:eastAsia="he-IL"/>
          <w14:ligatures w14:val="standardContextual"/>
        </w:rPr>
        <w:t>כהרדב"ז</w:t>
      </w:r>
      <w:proofErr w:type="spellEnd"/>
      <w:r w:rsidRPr="00D83DAA">
        <w:rPr>
          <w:rFonts w:eastAsia="Times New Roman"/>
          <w:sz w:val="28"/>
          <w:rtl/>
          <w:lang w:eastAsia="he-IL"/>
          <w14:ligatures w14:val="standardContextual"/>
        </w:rPr>
        <w:t xml:space="preserve">". </w:t>
      </w:r>
    </w:p>
    <w:p w14:paraId="363EF170" w14:textId="0833F27A"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עיין עוד שם באבני מילואים שמדקדק בלשון השלטי גיבורים בפרק מי שאחזו שהוא חולק על </w:t>
      </w:r>
      <w:proofErr w:type="spellStart"/>
      <w:r w:rsidRPr="00A40442">
        <w:rPr>
          <w:rFonts w:eastAsia="Times New Roman"/>
          <w:sz w:val="28"/>
          <w:rtl/>
          <w:lang w:eastAsia="he-IL"/>
          <w14:ligatures w14:val="standardContextual"/>
        </w:rPr>
        <w:t>הרדב"ז</w:t>
      </w:r>
      <w:proofErr w:type="spellEnd"/>
      <w:r w:rsidRPr="00A40442">
        <w:rPr>
          <w:rFonts w:eastAsia="Times New Roman"/>
          <w:sz w:val="28"/>
          <w:rtl/>
          <w:lang w:eastAsia="he-IL"/>
          <w14:ligatures w14:val="standardContextual"/>
        </w:rPr>
        <w:t xml:space="preserve"> וסובר</w:t>
      </w:r>
      <w:r w:rsidR="00016E13">
        <w:rPr>
          <w:rFonts w:eastAsia="Times New Roman" w:hint="cs"/>
          <w:sz w:val="28"/>
          <w:rtl/>
          <w:lang w:eastAsia="he-IL"/>
          <w14:ligatures w14:val="standardContextual"/>
        </w:rPr>
        <w:t>:</w:t>
      </w:r>
    </w:p>
    <w:p w14:paraId="27C11813" w14:textId="77777777" w:rsidR="00A40442" w:rsidRPr="00A40442" w:rsidRDefault="00A40442" w:rsidP="00E059A5">
      <w:pPr>
        <w:pStyle w:val="a9"/>
        <w:rPr>
          <w:rFonts w:eastAsia="Times New Roman"/>
          <w:sz w:val="28"/>
          <w:rtl/>
          <w:lang w:eastAsia="he-IL"/>
          <w14:ligatures w14:val="standardContextual"/>
        </w:rPr>
      </w:pPr>
      <w:r w:rsidRPr="00A40442">
        <w:rPr>
          <w:rFonts w:eastAsia="Times New Roman"/>
          <w:sz w:val="28"/>
          <w:rtl/>
          <w:lang w:eastAsia="he-IL"/>
          <w14:ligatures w14:val="standardContextual"/>
        </w:rPr>
        <w:t>"</w:t>
      </w:r>
      <w:proofErr w:type="spellStart"/>
      <w:r w:rsidRPr="00D61AF5">
        <w:rPr>
          <w:rFonts w:eastAsia="Times New Roman"/>
          <w:sz w:val="28"/>
          <w:rtl/>
          <w:lang w:eastAsia="he-IL"/>
          <w14:ligatures w14:val="standardContextual"/>
        </w:rPr>
        <w:t>דאפילו</w:t>
      </w:r>
      <w:proofErr w:type="spellEnd"/>
      <w:r w:rsidRPr="00A40442">
        <w:rPr>
          <w:rFonts w:eastAsia="Times New Roman"/>
          <w:sz w:val="28"/>
          <w:rtl/>
          <w:lang w:eastAsia="he-IL"/>
          <w14:ligatures w14:val="standardContextual"/>
        </w:rPr>
        <w:t xml:space="preserve"> </w:t>
      </w:r>
      <w:proofErr w:type="spellStart"/>
      <w:r w:rsidRPr="00A40442">
        <w:rPr>
          <w:rFonts w:eastAsia="Times New Roman"/>
          <w:sz w:val="28"/>
          <w:rtl/>
          <w:lang w:eastAsia="he-IL"/>
          <w14:ligatures w14:val="standardContextual"/>
        </w:rPr>
        <w:t>היכא</w:t>
      </w:r>
      <w:proofErr w:type="spellEnd"/>
      <w:r w:rsidRPr="00A40442">
        <w:rPr>
          <w:rFonts w:eastAsia="Times New Roman"/>
          <w:sz w:val="28"/>
          <w:rtl/>
          <w:lang w:eastAsia="he-IL"/>
          <w14:ligatures w14:val="standardContextual"/>
        </w:rPr>
        <w:t xml:space="preserve"> </w:t>
      </w:r>
      <w:proofErr w:type="spellStart"/>
      <w:r w:rsidRPr="00A40442">
        <w:rPr>
          <w:rFonts w:eastAsia="Times New Roman"/>
          <w:sz w:val="28"/>
          <w:rtl/>
          <w:lang w:eastAsia="he-IL"/>
          <w14:ligatures w14:val="standardContextual"/>
        </w:rPr>
        <w:t>דעבר</w:t>
      </w:r>
      <w:proofErr w:type="spellEnd"/>
      <w:r w:rsidRPr="00A40442">
        <w:rPr>
          <w:rFonts w:eastAsia="Times New Roman"/>
          <w:sz w:val="28"/>
          <w:rtl/>
          <w:lang w:eastAsia="he-IL"/>
          <w14:ligatures w14:val="standardContextual"/>
        </w:rPr>
        <w:t xml:space="preserve"> איסור לא הורע חזקה דאין אדם עושה בעילתו בעילת זנות, ולא שביק </w:t>
      </w:r>
      <w:proofErr w:type="spellStart"/>
      <w:r w:rsidRPr="00A40442">
        <w:rPr>
          <w:rFonts w:eastAsia="Times New Roman"/>
          <w:sz w:val="28"/>
          <w:rtl/>
          <w:lang w:eastAsia="he-IL"/>
          <w14:ligatures w14:val="standardContextual"/>
        </w:rPr>
        <w:t>היתרא</w:t>
      </w:r>
      <w:proofErr w:type="spellEnd"/>
      <w:r w:rsidRPr="00A40442">
        <w:rPr>
          <w:rFonts w:eastAsia="Times New Roman"/>
          <w:sz w:val="28"/>
          <w:rtl/>
          <w:lang w:eastAsia="he-IL"/>
          <w14:ligatures w14:val="standardContextual"/>
        </w:rPr>
        <w:t xml:space="preserve"> </w:t>
      </w:r>
      <w:proofErr w:type="spellStart"/>
      <w:r w:rsidRPr="00A40442">
        <w:rPr>
          <w:rFonts w:eastAsia="Times New Roman"/>
          <w:sz w:val="28"/>
          <w:rtl/>
          <w:lang w:eastAsia="he-IL"/>
          <w14:ligatures w14:val="standardContextual"/>
        </w:rPr>
        <w:t>דיכול</w:t>
      </w:r>
      <w:proofErr w:type="spellEnd"/>
      <w:r w:rsidRPr="00A40442">
        <w:rPr>
          <w:rFonts w:eastAsia="Times New Roman"/>
          <w:sz w:val="28"/>
          <w:rtl/>
          <w:lang w:eastAsia="he-IL"/>
          <w14:ligatures w14:val="standardContextual"/>
        </w:rPr>
        <w:t xml:space="preserve"> לעשות על ידי קידושין. ואף על אגב דהוה ליה כמו חשוד לאותו דבר, אפילו הכי </w:t>
      </w:r>
      <w:proofErr w:type="spellStart"/>
      <w:r w:rsidRPr="00A40442">
        <w:rPr>
          <w:rFonts w:eastAsia="Times New Roman"/>
          <w:sz w:val="28"/>
          <w:rtl/>
          <w:lang w:eastAsia="he-IL"/>
          <w14:ligatures w14:val="standardContextual"/>
        </w:rPr>
        <w:t>חמירא</w:t>
      </w:r>
      <w:proofErr w:type="spellEnd"/>
      <w:r w:rsidRPr="00A40442">
        <w:rPr>
          <w:rFonts w:eastAsia="Times New Roman"/>
          <w:sz w:val="28"/>
          <w:rtl/>
          <w:lang w:eastAsia="he-IL"/>
          <w14:ligatures w14:val="standardContextual"/>
        </w:rPr>
        <w:t xml:space="preserve"> </w:t>
      </w:r>
      <w:proofErr w:type="spellStart"/>
      <w:r w:rsidRPr="00A40442">
        <w:rPr>
          <w:rFonts w:eastAsia="Times New Roman"/>
          <w:sz w:val="28"/>
          <w:rtl/>
          <w:lang w:eastAsia="he-IL"/>
          <w14:ligatures w14:val="standardContextual"/>
        </w:rPr>
        <w:t>לאינשי</w:t>
      </w:r>
      <w:proofErr w:type="spellEnd"/>
      <w:r w:rsidRPr="00A40442">
        <w:rPr>
          <w:rFonts w:eastAsia="Times New Roman"/>
          <w:sz w:val="28"/>
          <w:rtl/>
          <w:lang w:eastAsia="he-IL"/>
          <w14:ligatures w14:val="standardContextual"/>
        </w:rPr>
        <w:t xml:space="preserve"> יותר, כיון </w:t>
      </w:r>
      <w:proofErr w:type="spellStart"/>
      <w:r w:rsidRPr="00A40442">
        <w:rPr>
          <w:rFonts w:eastAsia="Times New Roman"/>
          <w:sz w:val="28"/>
          <w:rtl/>
          <w:lang w:eastAsia="he-IL"/>
          <w14:ligatures w14:val="standardContextual"/>
        </w:rPr>
        <w:t>דיכול</w:t>
      </w:r>
      <w:proofErr w:type="spellEnd"/>
      <w:r w:rsidRPr="00A40442">
        <w:rPr>
          <w:rFonts w:eastAsia="Times New Roman"/>
          <w:sz w:val="28"/>
          <w:rtl/>
          <w:lang w:eastAsia="he-IL"/>
          <w14:ligatures w14:val="standardContextual"/>
        </w:rPr>
        <w:t xml:space="preserve"> לעשות בזה על ידי קידושין".</w:t>
      </w:r>
    </w:p>
    <w:p w14:paraId="35C56832" w14:textId="7B615B5D"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lastRenderedPageBreak/>
        <w:t xml:space="preserve">האבני מילואים שם מוכיח גם מדברי התוספות מסכת גיטין ע"ט: שהם סוברים כדעת </w:t>
      </w:r>
      <w:proofErr w:type="spellStart"/>
      <w:r w:rsidRPr="00A40442">
        <w:rPr>
          <w:rFonts w:eastAsia="Times New Roman"/>
          <w:sz w:val="28"/>
          <w:rtl/>
          <w:lang w:eastAsia="he-IL"/>
          <w14:ligatures w14:val="standardContextual"/>
        </w:rPr>
        <w:t>הרשב"א</w:t>
      </w:r>
      <w:proofErr w:type="spellEnd"/>
      <w:r w:rsidRPr="00A40442">
        <w:rPr>
          <w:rFonts w:eastAsia="Times New Roman"/>
          <w:sz w:val="28"/>
          <w:rtl/>
          <w:lang w:eastAsia="he-IL"/>
          <w14:ligatures w14:val="standardContextual"/>
        </w:rPr>
        <w:t xml:space="preserve">, דאף אם אסורה לו משום </w:t>
      </w:r>
      <w:proofErr w:type="spellStart"/>
      <w:r w:rsidRPr="00A40442">
        <w:rPr>
          <w:rFonts w:eastAsia="Times New Roman"/>
          <w:sz w:val="28"/>
          <w:rtl/>
          <w:lang w:eastAsia="he-IL"/>
          <w14:ligatures w14:val="standardContextual"/>
        </w:rPr>
        <w:t>נדתה</w:t>
      </w:r>
      <w:proofErr w:type="spellEnd"/>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חזקה אין אדם עושה בעילתו זנות אלא לשם קידושין. </w:t>
      </w:r>
    </w:p>
    <w:p w14:paraId="713B1117" w14:textId="7BBC27E1"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וכן בספר "אור שמח" </w:t>
      </w:r>
      <w:r w:rsidRPr="0041649A">
        <w:rPr>
          <w:rFonts w:eastAsia="Times New Roman"/>
          <w:sz w:val="28"/>
          <w:szCs w:val="24"/>
          <w:rtl/>
          <w:lang w:eastAsia="he-IL"/>
          <w14:ligatures w14:val="standardContextual"/>
        </w:rPr>
        <w:t xml:space="preserve">(לרבי מאיר שמחה </w:t>
      </w:r>
      <w:proofErr w:type="spellStart"/>
      <w:r w:rsidRPr="0041649A">
        <w:rPr>
          <w:rFonts w:eastAsia="Times New Roman"/>
          <w:sz w:val="28"/>
          <w:szCs w:val="24"/>
          <w:rtl/>
          <w:lang w:eastAsia="he-IL"/>
          <w14:ligatures w14:val="standardContextual"/>
        </w:rPr>
        <w:t>מדווינסק</w:t>
      </w:r>
      <w:proofErr w:type="spellEnd"/>
      <w:r w:rsidRPr="0041649A">
        <w:rPr>
          <w:rFonts w:eastAsia="Times New Roman"/>
          <w:sz w:val="28"/>
          <w:szCs w:val="24"/>
          <w:rtl/>
          <w:lang w:eastAsia="he-IL"/>
          <w14:ligatures w14:val="standardContextual"/>
        </w:rPr>
        <w:t>)</w:t>
      </w:r>
      <w:r w:rsidRPr="00A40442">
        <w:rPr>
          <w:rFonts w:eastAsia="Times New Roman"/>
          <w:sz w:val="28"/>
          <w:rtl/>
          <w:lang w:eastAsia="he-IL"/>
          <w14:ligatures w14:val="standardContextual"/>
        </w:rPr>
        <w:t xml:space="preserve"> הלכות גירושין פרק י' הלכה י"ט, מפרש בדעת הרמב"ם וזה לשונו</w:t>
      </w:r>
      <w:r w:rsidR="00D61AF5">
        <w:rPr>
          <w:rFonts w:eastAsia="Times New Roman" w:hint="cs"/>
          <w:sz w:val="28"/>
          <w:rtl/>
          <w:lang w:eastAsia="he-IL"/>
          <w14:ligatures w14:val="standardContextual"/>
        </w:rPr>
        <w:t>:</w:t>
      </w:r>
    </w:p>
    <w:p w14:paraId="020B91C6" w14:textId="18AA7AEF" w:rsidR="00A40442" w:rsidRPr="00D83DAA" w:rsidRDefault="00A40442" w:rsidP="00E059A5">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"ולפי דברי רבינו נשאר ברור, דאף אם </w:t>
      </w:r>
      <w:proofErr w:type="spellStart"/>
      <w:r w:rsidRPr="00D83DAA">
        <w:rPr>
          <w:rFonts w:eastAsia="Times New Roman"/>
          <w:sz w:val="28"/>
          <w:rtl/>
          <w:lang w:eastAsia="he-IL"/>
          <w14:ligatures w14:val="standardContextual"/>
        </w:rPr>
        <w:t>היתה</w:t>
      </w:r>
      <w:proofErr w:type="spellEnd"/>
      <w:r w:rsidRPr="00D83DAA">
        <w:rPr>
          <w:rFonts w:eastAsia="Times New Roman"/>
          <w:sz w:val="28"/>
          <w:rtl/>
          <w:lang w:eastAsia="he-IL"/>
          <w14:ligatures w14:val="standardContextual"/>
        </w:rPr>
        <w:t xml:space="preserve"> נדה גם כן אמרו </w:t>
      </w:r>
      <w:proofErr w:type="spellStart"/>
      <w:r w:rsidRPr="00D83DAA">
        <w:rPr>
          <w:rFonts w:eastAsia="Times New Roman"/>
          <w:sz w:val="28"/>
          <w:rtl/>
          <w:lang w:eastAsia="he-IL"/>
          <w14:ligatures w14:val="standardContextual"/>
        </w:rPr>
        <w:t>דלשם</w:t>
      </w:r>
      <w:proofErr w:type="spellEnd"/>
      <w:r w:rsidRPr="00D83DAA">
        <w:rPr>
          <w:rFonts w:eastAsia="Times New Roman"/>
          <w:sz w:val="28"/>
          <w:rtl/>
          <w:lang w:eastAsia="he-IL"/>
          <w14:ligatures w14:val="standardContextual"/>
        </w:rPr>
        <w:t xml:space="preserve"> קידושין </w:t>
      </w:r>
      <w:proofErr w:type="spellStart"/>
      <w:r w:rsidRPr="00D83DAA">
        <w:rPr>
          <w:rFonts w:eastAsia="Times New Roman"/>
          <w:sz w:val="28"/>
          <w:rtl/>
          <w:lang w:eastAsia="he-IL"/>
          <w14:ligatures w14:val="standardContextual"/>
        </w:rPr>
        <w:t>בעיל</w:t>
      </w:r>
      <w:proofErr w:type="spellEnd"/>
      <w:r w:rsidRPr="00D83DAA">
        <w:rPr>
          <w:rFonts w:eastAsia="Times New Roman"/>
          <w:sz w:val="28"/>
          <w:rtl/>
          <w:lang w:eastAsia="he-IL"/>
          <w14:ligatures w14:val="standardContextual"/>
        </w:rPr>
        <w:t xml:space="preserve">... וכיון </w:t>
      </w:r>
      <w:proofErr w:type="spellStart"/>
      <w:r w:rsidRPr="00D83DAA">
        <w:rPr>
          <w:rFonts w:eastAsia="Times New Roman"/>
          <w:sz w:val="28"/>
          <w:rtl/>
          <w:lang w:eastAsia="he-IL"/>
          <w14:ligatures w14:val="standardContextual"/>
        </w:rPr>
        <w:t>דבנדה</w:t>
      </w:r>
      <w:proofErr w:type="spellEnd"/>
      <w:r w:rsidRPr="00D83DAA">
        <w:rPr>
          <w:rFonts w:eastAsia="Times New Roman"/>
          <w:sz w:val="28"/>
          <w:rtl/>
          <w:lang w:eastAsia="he-IL"/>
          <w14:ligatures w14:val="standardContextual"/>
        </w:rPr>
        <w:t xml:space="preserve"> </w:t>
      </w:r>
      <w:proofErr w:type="spellStart"/>
      <w:r w:rsidRPr="00D83DAA">
        <w:rPr>
          <w:rFonts w:eastAsia="Times New Roman"/>
          <w:sz w:val="28"/>
          <w:rtl/>
          <w:lang w:eastAsia="he-IL"/>
          <w14:ligatures w14:val="standardContextual"/>
        </w:rPr>
        <w:t>תופסין</w:t>
      </w:r>
      <w:proofErr w:type="spellEnd"/>
      <w:r w:rsidRPr="00D83DAA">
        <w:rPr>
          <w:rFonts w:eastAsia="Times New Roman"/>
          <w:sz w:val="28"/>
          <w:rtl/>
          <w:lang w:eastAsia="he-IL"/>
          <w14:ligatures w14:val="standardContextual"/>
        </w:rPr>
        <w:t xml:space="preserve"> הקידושין ודאי לשם קידושין </w:t>
      </w:r>
      <w:proofErr w:type="spellStart"/>
      <w:r w:rsidRPr="00D83DAA">
        <w:rPr>
          <w:rFonts w:eastAsia="Times New Roman"/>
          <w:sz w:val="28"/>
          <w:rtl/>
          <w:lang w:eastAsia="he-IL"/>
          <w14:ligatures w14:val="standardContextual"/>
        </w:rPr>
        <w:t>בעיל</w:t>
      </w:r>
      <w:proofErr w:type="spellEnd"/>
      <w:r w:rsidRPr="00D83DAA">
        <w:rPr>
          <w:rFonts w:eastAsia="Times New Roman"/>
          <w:sz w:val="28"/>
          <w:rtl/>
          <w:lang w:eastAsia="he-IL"/>
          <w14:ligatures w14:val="standardContextual"/>
        </w:rPr>
        <w:t xml:space="preserve">."    </w:t>
      </w:r>
    </w:p>
    <w:p w14:paraId="10E41A7F" w14:textId="5F3AECB4"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כמו כן, ראה בתשובת רבי עקיבא איגר חלק א' סי' קפ"ב</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מביא שהמשנה למלך דחה את שיטת </w:t>
      </w:r>
      <w:proofErr w:type="spellStart"/>
      <w:r w:rsidRPr="00A40442">
        <w:rPr>
          <w:rFonts w:eastAsia="Times New Roman"/>
          <w:sz w:val="28"/>
          <w:rtl/>
          <w:lang w:eastAsia="he-IL"/>
          <w14:ligatures w14:val="standardContextual"/>
        </w:rPr>
        <w:t>הרדב"ז</w:t>
      </w:r>
      <w:proofErr w:type="spellEnd"/>
      <w:r w:rsidRPr="00A40442">
        <w:rPr>
          <w:rFonts w:eastAsia="Times New Roman"/>
          <w:sz w:val="28"/>
          <w:rtl/>
          <w:lang w:eastAsia="he-IL"/>
          <w14:ligatures w14:val="standardContextual"/>
        </w:rPr>
        <w:t xml:space="preserve">, וכתב </w:t>
      </w:r>
      <w:proofErr w:type="spellStart"/>
      <w:r w:rsidRPr="00A40442">
        <w:rPr>
          <w:rFonts w:eastAsia="Times New Roman"/>
          <w:sz w:val="28"/>
          <w:rtl/>
          <w:lang w:eastAsia="he-IL"/>
          <w14:ligatures w14:val="standardContextual"/>
        </w:rPr>
        <w:t>דמכל</w:t>
      </w:r>
      <w:proofErr w:type="spellEnd"/>
      <w:r w:rsidRPr="00A40442">
        <w:rPr>
          <w:rFonts w:eastAsia="Times New Roman"/>
          <w:sz w:val="28"/>
          <w:rtl/>
          <w:lang w:eastAsia="he-IL"/>
          <w14:ligatures w14:val="standardContextual"/>
        </w:rPr>
        <w:t xml:space="preserve"> מקום יש לומר דהוי חזקה דמה </w:t>
      </w:r>
      <w:proofErr w:type="spellStart"/>
      <w:r w:rsidRPr="00A40442">
        <w:rPr>
          <w:rFonts w:eastAsia="Times New Roman"/>
          <w:sz w:val="28"/>
          <w:rtl/>
          <w:lang w:eastAsia="he-IL"/>
          <w14:ligatures w14:val="standardContextual"/>
        </w:rPr>
        <w:t>דיכול</w:t>
      </w:r>
      <w:proofErr w:type="spellEnd"/>
      <w:r w:rsidRPr="00A40442">
        <w:rPr>
          <w:rFonts w:eastAsia="Times New Roman"/>
          <w:sz w:val="28"/>
          <w:rtl/>
          <w:lang w:eastAsia="he-IL"/>
          <w14:ligatures w14:val="standardContextual"/>
        </w:rPr>
        <w:t xml:space="preserve"> לעשות בהיתר עושה. </w:t>
      </w:r>
    </w:p>
    <w:p w14:paraId="19D92B25" w14:textId="77777777"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מסיכומו של חלק זה עולה, כי לדעת </w:t>
      </w:r>
      <w:proofErr w:type="spellStart"/>
      <w:r w:rsidRPr="00A40442">
        <w:rPr>
          <w:rFonts w:eastAsia="Times New Roman"/>
          <w:sz w:val="28"/>
          <w:rtl/>
          <w:lang w:eastAsia="he-IL"/>
          <w14:ligatures w14:val="standardContextual"/>
        </w:rPr>
        <w:t>הרשב"א</w:t>
      </w:r>
      <w:proofErr w:type="spellEnd"/>
      <w:r w:rsidRPr="00A40442">
        <w:rPr>
          <w:rFonts w:eastAsia="Times New Roman"/>
          <w:sz w:val="28"/>
          <w:rtl/>
          <w:lang w:eastAsia="he-IL"/>
          <w14:ligatures w14:val="standardContextual"/>
        </w:rPr>
        <w:t xml:space="preserve"> התוספות והרמב"ם, קיימת חזקה שאין אדם עושה בעילתו בעילת זנות, ולשם קידושין בעל גם אם הביאה בעבירה, כגון </w:t>
      </w:r>
      <w:proofErr w:type="spellStart"/>
      <w:r w:rsidRPr="00A40442">
        <w:rPr>
          <w:rFonts w:eastAsia="Times New Roman"/>
          <w:sz w:val="28"/>
          <w:rtl/>
          <w:lang w:eastAsia="he-IL"/>
          <w14:ligatures w14:val="standardContextual"/>
        </w:rPr>
        <w:t>שהיתה</w:t>
      </w:r>
      <w:proofErr w:type="spellEnd"/>
      <w:r w:rsidRPr="00A40442">
        <w:rPr>
          <w:rFonts w:eastAsia="Times New Roman"/>
          <w:sz w:val="28"/>
          <w:rtl/>
          <w:lang w:eastAsia="he-IL"/>
          <w14:ligatures w14:val="standardContextual"/>
        </w:rPr>
        <w:t xml:space="preserve"> נדה, למרות שאינו מקפיד על איסור נדה, מקפיד הוא על מה שבידו לתקן כדי שלא לעבור עבירה נוספת כמו בעילת זנות, ולא כדעת </w:t>
      </w:r>
      <w:proofErr w:type="spellStart"/>
      <w:r w:rsidRPr="00A40442">
        <w:rPr>
          <w:rFonts w:eastAsia="Times New Roman"/>
          <w:sz w:val="28"/>
          <w:rtl/>
          <w:lang w:eastAsia="he-IL"/>
          <w14:ligatures w14:val="standardContextual"/>
        </w:rPr>
        <w:t>הרדב"ז</w:t>
      </w:r>
      <w:proofErr w:type="spellEnd"/>
      <w:r w:rsidRPr="00A40442">
        <w:rPr>
          <w:rFonts w:eastAsia="Times New Roman"/>
          <w:sz w:val="28"/>
          <w:rtl/>
          <w:lang w:eastAsia="he-IL"/>
          <w14:ligatures w14:val="standardContextual"/>
        </w:rPr>
        <w:t>.</w:t>
      </w:r>
    </w:p>
    <w:p w14:paraId="3B58ECFA" w14:textId="21AE5E95" w:rsidR="00A40442" w:rsidRPr="0041649A" w:rsidRDefault="00D61AF5" w:rsidP="00E059A5">
      <w:pPr>
        <w:pStyle w:val="ae"/>
        <w:rPr>
          <w:rFonts w:eastAsia="Times New Roman"/>
          <w:sz w:val="28"/>
          <w:rtl/>
          <w:lang w:eastAsia="he-IL"/>
          <w14:ligatures w14:val="standardContextual"/>
        </w:rPr>
      </w:pPr>
      <w:r w:rsidRPr="0041649A">
        <w:rPr>
          <w:rFonts w:eastAsia="Times New Roman" w:hint="cs"/>
          <w:sz w:val="28"/>
          <w:rtl/>
          <w:lang w:eastAsia="he-IL"/>
          <w14:ligatures w14:val="standardContextual"/>
        </w:rPr>
        <w:t>(</w:t>
      </w:r>
      <w:r w:rsidR="00A40442" w:rsidRPr="0041649A">
        <w:rPr>
          <w:rFonts w:eastAsia="Times New Roman"/>
          <w:sz w:val="28"/>
          <w:rtl/>
          <w:lang w:eastAsia="he-IL"/>
          <w14:ligatures w14:val="standardContextual"/>
        </w:rPr>
        <w:t xml:space="preserve">נקודה מאד מעניינת שהתעוררה לי כאשר עיינתי בבאר היטב אבן העזר סימן קמ"ט </w:t>
      </w:r>
      <w:proofErr w:type="spellStart"/>
      <w:r w:rsidR="00A40442" w:rsidRPr="0041649A">
        <w:rPr>
          <w:rFonts w:eastAsia="Times New Roman"/>
          <w:sz w:val="28"/>
          <w:rtl/>
          <w:lang w:eastAsia="he-IL"/>
          <w14:ligatures w14:val="standardContextual"/>
        </w:rPr>
        <w:t>סק"א</w:t>
      </w:r>
      <w:proofErr w:type="spellEnd"/>
      <w:r w:rsidR="00A40442" w:rsidRPr="0041649A">
        <w:rPr>
          <w:rFonts w:eastAsia="Times New Roman"/>
          <w:sz w:val="28"/>
          <w:rtl/>
          <w:lang w:eastAsia="he-IL"/>
          <w14:ligatures w14:val="standardContextual"/>
        </w:rPr>
        <w:t xml:space="preserve">, שם הוא מביא תשובת </w:t>
      </w:r>
      <w:proofErr w:type="spellStart"/>
      <w:r w:rsidR="00A40442" w:rsidRPr="0041649A">
        <w:rPr>
          <w:rFonts w:eastAsia="Times New Roman"/>
          <w:sz w:val="28"/>
          <w:rtl/>
          <w:lang w:eastAsia="he-IL"/>
          <w14:ligatures w14:val="standardContextual"/>
        </w:rPr>
        <w:t>הרדב"ז</w:t>
      </w:r>
      <w:proofErr w:type="spellEnd"/>
      <w:r w:rsidR="00A40442" w:rsidRPr="0041649A">
        <w:rPr>
          <w:rFonts w:eastAsia="Times New Roman"/>
          <w:sz w:val="28"/>
          <w:rtl/>
          <w:lang w:eastAsia="he-IL"/>
          <w14:ligatures w14:val="standardContextual"/>
        </w:rPr>
        <w:t xml:space="preserve"> חלק א' סימן רע"ז </w:t>
      </w:r>
      <w:r w:rsidR="00A40442" w:rsidRPr="00345EB8">
        <w:rPr>
          <w:rFonts w:eastAsia="Times New Roman"/>
          <w:sz w:val="24"/>
          <w:szCs w:val="24"/>
          <w:rtl/>
          <w:lang w:eastAsia="he-IL"/>
          <w14:ligatures w14:val="standardContextual"/>
        </w:rPr>
        <w:t xml:space="preserve">(לא את התשובה שהבאנו לעיל בסימן שנ"א) </w:t>
      </w:r>
      <w:r w:rsidR="00A40442" w:rsidRPr="0041649A">
        <w:rPr>
          <w:rFonts w:eastAsia="Times New Roman"/>
          <w:sz w:val="28"/>
          <w:rtl/>
          <w:lang w:eastAsia="he-IL"/>
          <w14:ligatures w14:val="standardContextual"/>
        </w:rPr>
        <w:t>שכותב</w:t>
      </w:r>
      <w:r w:rsidRPr="0041649A">
        <w:rPr>
          <w:rFonts w:eastAsia="Times New Roman" w:hint="cs"/>
          <w:sz w:val="28"/>
          <w:rtl/>
          <w:lang w:eastAsia="he-IL"/>
          <w14:ligatures w14:val="standardContextual"/>
        </w:rPr>
        <w:t>:</w:t>
      </w:r>
    </w:p>
    <w:p w14:paraId="5D88180C" w14:textId="77777777" w:rsidR="00A40442" w:rsidRPr="00D83DAA" w:rsidRDefault="00A40442" w:rsidP="00E059A5">
      <w:pPr>
        <w:pStyle w:val="a9"/>
        <w:rPr>
          <w:rFonts w:eastAsia="Times New Roman"/>
          <w:sz w:val="28"/>
          <w:rtl/>
          <w:lang w:eastAsia="he-IL"/>
          <w14:ligatures w14:val="standardContextual"/>
        </w:rPr>
      </w:pPr>
      <w:r w:rsidRPr="00D83DAA">
        <w:rPr>
          <w:rFonts w:eastAsia="Times New Roman"/>
          <w:sz w:val="28"/>
          <w:rtl/>
          <w:lang w:eastAsia="he-IL"/>
          <w14:ligatures w14:val="standardContextual"/>
        </w:rPr>
        <w:t xml:space="preserve">"אם </w:t>
      </w:r>
      <w:proofErr w:type="spellStart"/>
      <w:r w:rsidRPr="00D83DAA">
        <w:rPr>
          <w:rFonts w:eastAsia="Times New Roman"/>
          <w:sz w:val="28"/>
          <w:rtl/>
          <w:lang w:eastAsia="he-IL"/>
          <w14:ligatures w14:val="standardContextual"/>
        </w:rPr>
        <w:t>נתייחדה</w:t>
      </w:r>
      <w:proofErr w:type="spellEnd"/>
      <w:r w:rsidRPr="00D83DAA">
        <w:rPr>
          <w:rFonts w:eastAsia="Times New Roman"/>
          <w:sz w:val="28"/>
          <w:rtl/>
          <w:lang w:eastAsia="he-IL"/>
          <w14:ligatures w14:val="standardContextual"/>
        </w:rPr>
        <w:t xml:space="preserve"> אינה צריכה גט. ואם ראוה שנבעלה צריכה גט". </w:t>
      </w:r>
    </w:p>
    <w:p w14:paraId="490F6D69" w14:textId="18DC222F" w:rsidR="00A40442" w:rsidRPr="0041649A" w:rsidRDefault="00A40442" w:rsidP="00E059A5">
      <w:pPr>
        <w:pStyle w:val="ae"/>
        <w:rPr>
          <w:rFonts w:eastAsia="Times New Roman"/>
          <w:sz w:val="28"/>
          <w:rtl/>
          <w:lang w:eastAsia="he-IL"/>
          <w14:ligatures w14:val="standardContextual"/>
        </w:rPr>
      </w:pPr>
      <w:r w:rsidRPr="0041649A">
        <w:rPr>
          <w:rFonts w:eastAsia="Times New Roman"/>
          <w:sz w:val="28"/>
          <w:rtl/>
          <w:lang w:eastAsia="he-IL"/>
          <w14:ligatures w14:val="standardContextual"/>
        </w:rPr>
        <w:t xml:space="preserve">עיינתי בגוף תשובת </w:t>
      </w:r>
      <w:proofErr w:type="spellStart"/>
      <w:r w:rsidRPr="0041649A">
        <w:rPr>
          <w:rFonts w:eastAsia="Times New Roman"/>
          <w:sz w:val="28"/>
          <w:rtl/>
          <w:lang w:eastAsia="he-IL"/>
          <w14:ligatures w14:val="standardContextual"/>
        </w:rPr>
        <w:t>הרדב"ז</w:t>
      </w:r>
      <w:proofErr w:type="spellEnd"/>
      <w:r w:rsidRPr="0041649A">
        <w:rPr>
          <w:rFonts w:eastAsia="Times New Roman"/>
          <w:sz w:val="28"/>
          <w:rtl/>
          <w:lang w:eastAsia="he-IL"/>
          <w14:ligatures w14:val="standardContextual"/>
        </w:rPr>
        <w:t xml:space="preserve"> בסימן רע"ז. התשובה שם עוסקת במקרה שהבעל גירש את אשתו מחמת שזינתה ואחר כך נתייחד עמה, ועל כך פוסק </w:t>
      </w:r>
      <w:proofErr w:type="spellStart"/>
      <w:r w:rsidRPr="0041649A">
        <w:rPr>
          <w:rFonts w:eastAsia="Times New Roman"/>
          <w:sz w:val="28"/>
          <w:rtl/>
          <w:lang w:eastAsia="he-IL"/>
          <w14:ligatures w14:val="standardContextual"/>
        </w:rPr>
        <w:t>הרדב"ז</w:t>
      </w:r>
      <w:proofErr w:type="spellEnd"/>
      <w:r w:rsidRPr="0041649A">
        <w:rPr>
          <w:rFonts w:eastAsia="Times New Roman"/>
          <w:sz w:val="28"/>
          <w:rtl/>
          <w:lang w:eastAsia="he-IL"/>
          <w14:ligatures w14:val="standardContextual"/>
        </w:rPr>
        <w:t xml:space="preserve"> שאם ראוה שנבעלה </w:t>
      </w:r>
      <w:proofErr w:type="spellStart"/>
      <w:r w:rsidRPr="0041649A">
        <w:rPr>
          <w:rFonts w:eastAsia="Times New Roman"/>
          <w:sz w:val="28"/>
          <w:rtl/>
          <w:lang w:eastAsia="he-IL"/>
          <w14:ligatures w14:val="standardContextual"/>
        </w:rPr>
        <w:t>אמרינן</w:t>
      </w:r>
      <w:proofErr w:type="spellEnd"/>
      <w:r w:rsidRPr="0041649A">
        <w:rPr>
          <w:rFonts w:eastAsia="Times New Roman"/>
          <w:sz w:val="28"/>
          <w:rtl/>
          <w:lang w:eastAsia="he-IL"/>
          <w14:ligatures w14:val="standardContextual"/>
        </w:rPr>
        <w:t xml:space="preserve"> שבעל לשם קידושין וצריכה גט. ולכאורה זו סתירה לתשובתו שכתב בסימן שנ"א הנ"ל.</w:t>
      </w:r>
      <w:r w:rsidRPr="0041649A">
        <w:rPr>
          <w:rFonts w:eastAsia="Times New Roman"/>
          <w:sz w:val="28"/>
          <w:rtl/>
          <w:lang w:eastAsia="he-IL"/>
          <w14:ligatures w14:val="standardContextual"/>
        </w:rPr>
        <w:tab/>
      </w:r>
      <w:r w:rsidRPr="0041649A">
        <w:rPr>
          <w:rFonts w:eastAsia="Times New Roman"/>
          <w:sz w:val="28"/>
          <w:rtl/>
          <w:lang w:eastAsia="he-IL"/>
          <w14:ligatures w14:val="standardContextual"/>
        </w:rPr>
        <w:br/>
        <w:t>ואולי יש לחלק אם מתייחד עם גרושתו כשהיא נדה</w:t>
      </w:r>
      <w:r w:rsidR="00345EB8">
        <w:rPr>
          <w:rFonts w:eastAsia="Times New Roman" w:hint="cs"/>
          <w:sz w:val="28"/>
          <w:rtl/>
          <w:lang w:eastAsia="he-IL"/>
          <w14:ligatures w14:val="standardContextual"/>
        </w:rPr>
        <w:t>,</w:t>
      </w:r>
      <w:r w:rsidRPr="0041649A">
        <w:rPr>
          <w:rFonts w:eastAsia="Times New Roman"/>
          <w:sz w:val="28"/>
          <w:rtl/>
          <w:lang w:eastAsia="he-IL"/>
          <w14:ligatures w14:val="standardContextual"/>
        </w:rPr>
        <w:t xml:space="preserve"> וכאשר עובר על איסור נדה לא </w:t>
      </w:r>
      <w:proofErr w:type="spellStart"/>
      <w:r w:rsidRPr="0041649A">
        <w:rPr>
          <w:rFonts w:eastAsia="Times New Roman"/>
          <w:sz w:val="28"/>
          <w:rtl/>
          <w:lang w:eastAsia="he-IL"/>
          <w14:ligatures w14:val="standardContextual"/>
        </w:rPr>
        <w:t>אמרינן</w:t>
      </w:r>
      <w:proofErr w:type="spellEnd"/>
      <w:r w:rsidRPr="0041649A">
        <w:rPr>
          <w:rFonts w:eastAsia="Times New Roman"/>
          <w:sz w:val="28"/>
          <w:rtl/>
          <w:lang w:eastAsia="he-IL"/>
          <w14:ligatures w14:val="standardContextual"/>
        </w:rPr>
        <w:t xml:space="preserve"> חזקה אין אדם עושה בעילתו בעילת זנות, לבין אם מתייחד עם גרושתו שגירשה משום שנאסרה עליו מחמת זנות. צריך עיון</w:t>
      </w:r>
      <w:r w:rsidR="00D61AF5" w:rsidRPr="0041649A">
        <w:rPr>
          <w:rFonts w:eastAsia="Times New Roman" w:hint="cs"/>
          <w:sz w:val="28"/>
          <w:rtl/>
          <w:lang w:eastAsia="he-IL"/>
          <w14:ligatures w14:val="standardContextual"/>
        </w:rPr>
        <w:t>)</w:t>
      </w:r>
      <w:r w:rsidR="00C11995">
        <w:rPr>
          <w:rFonts w:eastAsia="Times New Roman" w:hint="cs"/>
          <w:sz w:val="28"/>
          <w:rtl/>
          <w:lang w:eastAsia="he-IL"/>
          <w14:ligatures w14:val="standardContextual"/>
        </w:rPr>
        <w:t>.</w:t>
      </w:r>
    </w:p>
    <w:p w14:paraId="6FE521F2" w14:textId="58AD9B97" w:rsidR="00A40442" w:rsidRPr="00E059A5" w:rsidRDefault="00A40442" w:rsidP="00E059A5">
      <w:pPr>
        <w:pStyle w:val="-0"/>
        <w:rPr>
          <w:rtl/>
          <w:lang w:eastAsia="he-IL"/>
        </w:rPr>
      </w:pPr>
      <w:r w:rsidRPr="00E059A5">
        <w:rPr>
          <w:rtl/>
          <w:lang w:eastAsia="he-IL"/>
        </w:rPr>
        <w:t xml:space="preserve">המסקנה ההלכתית </w:t>
      </w:r>
    </w:p>
    <w:p w14:paraId="445421B9" w14:textId="77777777" w:rsidR="00A40442" w:rsidRPr="00A40442" w:rsidRDefault="00A40442" w:rsidP="00E059A5">
      <w:pPr>
        <w:pStyle w:val="ad"/>
        <w:rPr>
          <w:kern w:val="28"/>
          <w:rtl/>
          <w14:ligatures w14:val="standardContextual"/>
        </w:rPr>
      </w:pPr>
      <w:r w:rsidRPr="00A40442">
        <w:rPr>
          <w:kern w:val="28"/>
          <w:rtl/>
          <w14:ligatures w14:val="standardContextual"/>
        </w:rPr>
        <w:t>איש ואישה שהתגרשו וחזרו לחיות ביחד דינם ההלכתי כבעל ואישה נשואים, ולכן חל עליהם חוק יחסי ממון.</w:t>
      </w:r>
    </w:p>
    <w:p w14:paraId="6A9E83C1" w14:textId="67C05F52"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במקרה שבפנינו, הצדדים חזרו מיד לאחר הגירושין או סמוך להן לחיות ביחד באותו בית כבעל ואישה לכל דבר ועניין, כולל גידול הילדים במשותף, וניהול משק בית משותף כאשר האיש הוא המפרנס, והאישה אחראית לתחזוקת הבית כולל הקומה הנוספת, ובהמשך הזמן הוכיח סופו על תחילתו שכוונת הצדדים לאחר הגירושין לחזור ולחיות כבעל ואישה, בהתמסדות נישואיהם במסגרת נישואים אזרחיים, לכן הגט שסודר ביום 20</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2</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23 הוא מחויב מעיקר הדין כמו כל בעל ואישה הבאים להתגרש.</w:t>
      </w:r>
    </w:p>
    <w:p w14:paraId="1E2302B9" w14:textId="77777777"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מעתה אציין מספר נתונים עובדתיים שקיימים במקרה שבפנינו המוכיחים את המסקנה ההלכתית שקבענו כי מעמדם של הצדדים במשך כל שנות חייהם המשותפים לאחר הגירושין היו כבעל ואישה,  וממילא  חלים עליהם כל דיני חלוקת הרכוש גם לפי החוק.</w:t>
      </w:r>
    </w:p>
    <w:p w14:paraId="3752E2CB" w14:textId="50E0378F"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כאשר האיש בנה את הקומה העליונה הוא לא ראה צורך להחתים את האישה על מסמך שהיא מוותרת על כל זכות בקומה הנוספת, ואף ערב נישואיהם האזרחיים בתאריך 4</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4</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16</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לא נעשה שום הסכם ממון ביניהם כפי שעשו בסוף תקופת נישואיהם הראשונים</w:t>
      </w:r>
      <w:r w:rsidR="00E059A5">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30</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3</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1988.</w:t>
      </w:r>
    </w:p>
    <w:p w14:paraId="29FDB5E9" w14:textId="26494FD5"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lastRenderedPageBreak/>
        <w:t>זאת ועוד, האיש כתב צוואה בתאריך 13</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11</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18 בה הוא מוריש לאישה לאחר מותו את כל רכושו כולל הבית כולו, היינו עם הקומה העליונה ברח'</w:t>
      </w:r>
      <w:r w:rsidR="00D83DAA">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ה</w:t>
      </w:r>
      <w:r w:rsidR="00E059A5">
        <w:rPr>
          <w:rFonts w:eastAsia="Times New Roman" w:hint="cs"/>
          <w:sz w:val="28"/>
          <w:rtl/>
          <w:lang w:eastAsia="he-IL"/>
          <w14:ligatures w14:val="standardContextual"/>
        </w:rPr>
        <w:t>'</w:t>
      </w:r>
      <w:r w:rsidR="00D83DAA">
        <w:rPr>
          <w:rFonts w:eastAsia="Times New Roman" w:hint="cs"/>
          <w:sz w:val="28"/>
          <w:rtl/>
          <w:lang w:eastAsia="he-IL"/>
          <w14:ligatures w14:val="standardContextual"/>
        </w:rPr>
        <w:t>]</w:t>
      </w:r>
      <w:r w:rsidRPr="00A40442">
        <w:rPr>
          <w:rFonts w:eastAsia="Times New Roman"/>
          <w:sz w:val="28"/>
          <w:rtl/>
          <w:lang w:eastAsia="he-IL"/>
          <w14:ligatures w14:val="standardContextual"/>
        </w:rPr>
        <w:t>.</w:t>
      </w:r>
    </w:p>
    <w:p w14:paraId="659565E5" w14:textId="23645180"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כאשר ביה"ד מינה שמאי בהחלטתו מתאריך 15</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10</w:t>
      </w:r>
      <w:r w:rsidR="00E059A5">
        <w:rPr>
          <w:rFonts w:eastAsia="Times New Roman" w:hint="cs"/>
          <w:sz w:val="28"/>
          <w:rtl/>
          <w:lang w:eastAsia="he-IL"/>
          <w14:ligatures w14:val="standardContextual"/>
        </w:rPr>
        <w:t>.</w:t>
      </w:r>
      <w:r w:rsidRPr="00A40442">
        <w:rPr>
          <w:rFonts w:eastAsia="Times New Roman"/>
          <w:sz w:val="28"/>
          <w:rtl/>
          <w:lang w:eastAsia="he-IL"/>
          <w14:ligatures w14:val="standardContextual"/>
        </w:rPr>
        <w:t>22</w:t>
      </w:r>
      <w:r w:rsidR="00D61AF5">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למתן חוות דעת על הבית, שורת הדין וההיגיון שהאיש ידרוש שמאות נפרדת על כל אחד מחלקי הבית על הקומה התחתונה בנפרד, ועל הקומה העליונה בנפרד, כדי לדעת ברור כמה שווה חלקו בכל הבית, וכמה שווה חלקה של האישה כאשר יימכר הבית.</w:t>
      </w:r>
    </w:p>
    <w:p w14:paraId="7C91D514" w14:textId="77777777" w:rsidR="00E059A5" w:rsidRDefault="00A40442" w:rsidP="00E059A5">
      <w:pPr>
        <w:pStyle w:val="ae"/>
        <w:rPr>
          <w:rFonts w:eastAsia="Times New Roman"/>
          <w:sz w:val="28"/>
          <w:rtl/>
          <w:lang w:eastAsia="he-IL"/>
          <w14:ligatures w14:val="standardContextual"/>
        </w:rPr>
      </w:pPr>
      <w:r w:rsidRPr="00E059A5">
        <w:rPr>
          <w:rFonts w:eastAsia="Times New Roman"/>
          <w:sz w:val="28"/>
          <w:rtl/>
          <w:lang w:eastAsia="he-IL"/>
          <w14:ligatures w14:val="standardContextual"/>
        </w:rPr>
        <w:t>כל העובדות במצטבר, מוכיחות כאמור שהצדדים ראו עצמם כבעל ואישה על כל הנובע מכך, ואכן מעמדם ההלכתי כאמור כבעל ואישה, ולא כפי שסובר עמיתי שמעמדם של הצדדים הוא כשותפים.</w:t>
      </w:r>
    </w:p>
    <w:p w14:paraId="1A87AD52" w14:textId="7581096A"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לפיכך, חוק יחסי ממון בין בני זוג על כל סעיפיו חל על הצדדים הנידונים בפנינו, וכידוע בתקופת חייהם המשותפים של בני זוג</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כל נכס שהתווסף על ידי מאמץ של אחד הצדדים, מתווסף לסל איזון הזכויות עם פקיעתם של נישואי הצדדים, ולכן גם אם נגדיר את הקומה הנוספת שבנה האיש מכספו כנכס נפרד מהבית המשותף, הרי שגם עליו חל חוק האיזון, ועם מכירת הבית יחלקו הצדדים בתמורה בחלקים שווים. כל שכן, במקרה זה לא ניתן להגדיר את תוספת הבניה כנכס נפרד היות והוא חלק בלתי נפרד מהבית המקורי שהוא קומת קרקע, שהרי הוא בנוי על גביו וכל התשתיות של הבית חוברו גם לקומה העליונה</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כך ששתי הקומות מחוברות לאותם תשתיות. הכניסה לקומה העליונה היא מתוך הבית </w:t>
      </w:r>
      <w:r w:rsidRPr="0041649A">
        <w:rPr>
          <w:rFonts w:eastAsia="Times New Roman"/>
          <w:sz w:val="28"/>
          <w:szCs w:val="24"/>
          <w:rtl/>
          <w:lang w:eastAsia="he-IL"/>
          <w14:ligatures w14:val="standardContextual"/>
        </w:rPr>
        <w:t>(קומת קרקע)</w:t>
      </w:r>
      <w:r w:rsidRPr="00A40442">
        <w:rPr>
          <w:rFonts w:eastAsia="Times New Roman"/>
          <w:sz w:val="28"/>
          <w:rtl/>
          <w:lang w:eastAsia="he-IL"/>
          <w14:ligatures w14:val="standardContextual"/>
        </w:rPr>
        <w:t xml:space="preserve"> באמצעות</w:t>
      </w:r>
      <w:r w:rsidR="00345EB8">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מדרגות.</w:t>
      </w:r>
    </w:p>
    <w:p w14:paraId="71368A3B" w14:textId="72531CD8"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כמו כן, ניסוח לשון הבקשה להיתר בנייה שהוגשה על ידי הצדדים היה "תוספת קומה והרחבת קומת קרקע", דהיינו להפוך את הבית מחד קומתי לדירת דופלקס כמו כל דירת דופלקס שמוכרת לנו, פירוש הדבר הרחבת הדירה הקיימת, וממילא היא חלק בלתי נפרד מהבית. גם היתר בנייה </w:t>
      </w:r>
      <w:r w:rsidRPr="0041649A">
        <w:rPr>
          <w:rFonts w:eastAsia="Times New Roman"/>
          <w:sz w:val="28"/>
          <w:szCs w:val="24"/>
          <w:rtl/>
          <w:lang w:eastAsia="he-IL"/>
          <w14:ligatures w14:val="standardContextual"/>
        </w:rPr>
        <w:t>(כפי שמופיע בחוות דעת השמאי)</w:t>
      </w:r>
      <w:r w:rsidRPr="00A40442">
        <w:rPr>
          <w:rFonts w:eastAsia="Times New Roman"/>
          <w:sz w:val="28"/>
          <w:rtl/>
          <w:lang w:eastAsia="he-IL"/>
          <w14:ligatures w14:val="standardContextual"/>
        </w:rPr>
        <w:t xml:space="preserve"> ניתן באופן שהקומה הנוספת תהיה חלק בלתי נפרד מהקומה התחתונה, ולא כקומת מגורים בפני עצמה. ולכן במסגרת חלוקת הרכוש בין הצדדים בנכס, כאשר יימכר הבית התמורה תחולק ביניהם בחלקים שווים.</w:t>
      </w:r>
    </w:p>
    <w:p w14:paraId="7667FD89" w14:textId="77777777"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יתר על כל האמור לעיל, ניתן היה לוותר על כל אריכות הדברים בהבאת מקורות ההלכתים ולהסתפק בפסק דין קצר ביותר ולסכמו במספר שורות כדלהלן:</w:t>
      </w:r>
    </w:p>
    <w:p w14:paraId="2BFA1864" w14:textId="77777777" w:rsidR="00E059A5" w:rsidRDefault="00A40442" w:rsidP="00E059A5">
      <w:pPr>
        <w:pStyle w:val="ae"/>
        <w:rPr>
          <w:rFonts w:eastAsia="Times New Roman"/>
          <w:sz w:val="28"/>
          <w:rtl/>
          <w:lang w:eastAsia="he-IL"/>
          <w14:ligatures w14:val="standardContextual"/>
        </w:rPr>
      </w:pPr>
      <w:r w:rsidRPr="00E059A5">
        <w:rPr>
          <w:rFonts w:eastAsia="Times New Roman"/>
          <w:b/>
          <w:bCs/>
          <w:sz w:val="28"/>
          <w:rtl/>
          <w:lang w:eastAsia="he-IL"/>
          <w14:ligatures w14:val="standardContextual"/>
        </w:rPr>
        <w:t>הקומה</w:t>
      </w:r>
      <w:r w:rsidRPr="00A40442">
        <w:rPr>
          <w:rFonts w:eastAsia="Times New Roman"/>
          <w:b/>
          <w:bCs/>
          <w:sz w:val="28"/>
          <w:rtl/>
          <w:lang w:eastAsia="he-IL"/>
          <w14:ligatures w14:val="standardContextual"/>
        </w:rPr>
        <w:t xml:space="preserve"> הנוספת שבנה האיש אינה רשומה בטאבו על שמו בלבד אלא היא חלק בלתי נפרד מהבית כולו הרשום על שם שני הצדדים, וכידוע </w:t>
      </w:r>
      <w:r w:rsidRPr="0041649A">
        <w:rPr>
          <w:rFonts w:eastAsia="Times New Roman"/>
          <w:b/>
          <w:bCs/>
          <w:sz w:val="28"/>
          <w:szCs w:val="24"/>
          <w:rtl/>
          <w:lang w:eastAsia="he-IL"/>
          <w14:ligatures w14:val="standardContextual"/>
        </w:rPr>
        <w:t>(אף ללא חוק יחסי ממון)</w:t>
      </w:r>
      <w:r w:rsidRPr="00A40442">
        <w:rPr>
          <w:rFonts w:eastAsia="Times New Roman"/>
          <w:b/>
          <w:bCs/>
          <w:sz w:val="28"/>
          <w:rtl/>
          <w:lang w:eastAsia="he-IL"/>
          <w14:ligatures w14:val="standardContextual"/>
        </w:rPr>
        <w:t xml:space="preserve"> בעלות בנכס נקבעת על פי הרישום בטאבו, ולכן הבית כולו שייך לשני הצדדים בחלקים שווים.</w:t>
      </w:r>
    </w:p>
    <w:p w14:paraId="0DC120E5" w14:textId="73BCA001"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באשר לפסק הדין שציטט עמיתי</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w:t>
      </w:r>
      <w:r w:rsidRPr="0041649A">
        <w:rPr>
          <w:rFonts w:eastAsia="Times New Roman"/>
          <w:sz w:val="28"/>
          <w:szCs w:val="24"/>
          <w:rtl/>
          <w:lang w:eastAsia="he-IL"/>
          <w14:ligatures w14:val="standardContextual"/>
        </w:rPr>
        <w:t>(נכתב על ידי בתקופת כהונתי בביה"ד נתניה)</w:t>
      </w:r>
      <w:r w:rsidR="00345EB8">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בעניין איזון פירות מנכס שאינו בר איזון. לדעתי אין לו כל קשר למקרה הנדון בפנינו</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אלה שני מקרים שונים לחלוטין. פסק הדין </w:t>
      </w:r>
      <w:r w:rsidRPr="0041649A">
        <w:rPr>
          <w:rFonts w:eastAsia="Times New Roman"/>
          <w:sz w:val="28"/>
          <w:szCs w:val="24"/>
          <w:rtl/>
          <w:lang w:eastAsia="he-IL"/>
          <w14:ligatures w14:val="standardContextual"/>
        </w:rPr>
        <w:t>(נתניה)</w:t>
      </w:r>
      <w:r w:rsidRPr="00A40442">
        <w:rPr>
          <w:rFonts w:eastAsia="Times New Roman"/>
          <w:sz w:val="28"/>
          <w:rtl/>
          <w:lang w:eastAsia="he-IL"/>
          <w14:ligatures w14:val="standardContextual"/>
        </w:rPr>
        <w:t xml:space="preserve"> עוסק במקרה של נכס חיצוני לחלוטין שהם כספים שהבעל חסך קודם הנישואין ודאג לאורך כל שנות הנישואין שהכסף שנחסך לא יכנס לחשבון משותף, ובמהלך שנות הנישואין סכום הכסף הצמיח רווחים גדולים, והנדון היה האם הרווחים שהם פירות הקרן שאינו בר איזון שצמחו בתקופת הנישואין דינם כדין הקרן ואינם ברי איזון, או שפירות הנכס עומדים בפני עצמם ומאחר והם צמחו בתקופת הנישואין הם נכללים באיזון.</w:t>
      </w:r>
    </w:p>
    <w:p w14:paraId="71705A96" w14:textId="64D52E44" w:rsidR="00E059A5"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במקרה שבפנינו הוא ההיפך, הקומה התחתונה שהיא לכאורה בבחינת הקרן היא בוודאי ברת איזון מאחר והיא שייכת לשני הצדדים והתוספת שנוספה שהיא הקומה העליונה כביכול "הפרי שצמח". זאת ועוד</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כאשר מדובר על רווחים כספיים</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יש מקום לומר שהם נפרדים מהקרן למרות שהם נוצרו מהקרן, מאחר וניתן לקחת רק את כסף הרווחים שהצטברו ולהפרישם מהקרן ולייצר </w:t>
      </w:r>
      <w:r w:rsidRPr="00A40442">
        <w:rPr>
          <w:rFonts w:eastAsia="Times New Roman"/>
          <w:sz w:val="28"/>
          <w:rtl/>
          <w:lang w:eastAsia="he-IL"/>
          <w14:ligatures w14:val="standardContextual"/>
        </w:rPr>
        <w:lastRenderedPageBreak/>
        <w:t xml:space="preserve">מהם קרן בפני עצמה, אולם כאשר מדובר בקומת הבית שנבנתה על גבי הקומה התחתונה והיא חלק בלתי נפרד ממנה, ולא ניתן לנתק את התוספת מהיסוד, ללא היסוד אין תוספת, ולכן </w:t>
      </w:r>
      <w:proofErr w:type="spellStart"/>
      <w:r w:rsidRPr="00A40442">
        <w:rPr>
          <w:rFonts w:eastAsia="Times New Roman"/>
          <w:sz w:val="28"/>
          <w:rtl/>
          <w:lang w:eastAsia="he-IL"/>
          <w14:ligatures w14:val="standardContextual"/>
        </w:rPr>
        <w:t>בכהאי</w:t>
      </w:r>
      <w:proofErr w:type="spellEnd"/>
      <w:r w:rsidRPr="00A40442">
        <w:rPr>
          <w:rFonts w:eastAsia="Times New Roman"/>
          <w:sz w:val="28"/>
          <w:rtl/>
          <w:lang w:eastAsia="he-IL"/>
          <w14:ligatures w14:val="standardContextual"/>
        </w:rPr>
        <w:t xml:space="preserve"> </w:t>
      </w:r>
      <w:proofErr w:type="spellStart"/>
      <w:r w:rsidRPr="00A40442">
        <w:rPr>
          <w:rFonts w:eastAsia="Times New Roman"/>
          <w:sz w:val="28"/>
          <w:rtl/>
          <w:lang w:eastAsia="he-IL"/>
          <w14:ligatures w14:val="standardContextual"/>
        </w:rPr>
        <w:t>גוונא</w:t>
      </w:r>
      <w:proofErr w:type="spellEnd"/>
      <w:r w:rsidRPr="00A40442">
        <w:rPr>
          <w:rFonts w:eastAsia="Times New Roman"/>
          <w:sz w:val="28"/>
          <w:rtl/>
          <w:lang w:eastAsia="he-IL"/>
          <w14:ligatures w14:val="standardContextual"/>
        </w:rPr>
        <w:t xml:space="preserve">  הקרן והפרי חד הם ודין הפרי כדין הקרן, והיות והקרן ברת איזון בהכרח גם על הפרי חל משפט האיזון.</w:t>
      </w:r>
    </w:p>
    <w:p w14:paraId="566A83CE" w14:textId="64A17C7A" w:rsidR="00A40442" w:rsidRPr="00A40442" w:rsidRDefault="00A40442" w:rsidP="00E059A5">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לאור האמור פוסק ביה"ד</w:t>
      </w:r>
      <w:r w:rsidR="00E059A5">
        <w:rPr>
          <w:rFonts w:eastAsia="Times New Roman" w:hint="cs"/>
          <w:sz w:val="28"/>
          <w:rtl/>
          <w:lang w:eastAsia="he-IL"/>
          <w14:ligatures w14:val="standardContextual"/>
        </w:rPr>
        <w:t>:</w:t>
      </w:r>
    </w:p>
    <w:p w14:paraId="4D81912D" w14:textId="77777777" w:rsidR="00642EA3" w:rsidRDefault="00A40442" w:rsidP="00642EA3">
      <w:pPr>
        <w:pStyle w:val="a8"/>
        <w:numPr>
          <w:ilvl w:val="0"/>
          <w:numId w:val="13"/>
        </w:numPr>
        <w:rPr>
          <w:lang w:eastAsia="he-IL"/>
        </w:rPr>
      </w:pPr>
      <w:r w:rsidRPr="00A40442">
        <w:rPr>
          <w:rtl/>
          <w:lang w:eastAsia="he-IL"/>
        </w:rPr>
        <w:t>הצדדים חזרו לחיות כבעל ואשה לאחר שהתגרשו. לכן חל עליהם דין בעל ואישה נשואים הן הלכתית והן חוקית.</w:t>
      </w:r>
    </w:p>
    <w:p w14:paraId="3DE53145" w14:textId="2D58A902" w:rsidR="00642EA3" w:rsidRPr="00642EA3" w:rsidRDefault="00A40442" w:rsidP="00642EA3">
      <w:pPr>
        <w:pStyle w:val="a8"/>
        <w:numPr>
          <w:ilvl w:val="0"/>
          <w:numId w:val="13"/>
        </w:numPr>
        <w:rPr>
          <w:lang w:eastAsia="he-IL"/>
        </w:rPr>
      </w:pPr>
      <w:r w:rsidRPr="00642EA3">
        <w:rPr>
          <w:rFonts w:eastAsia="Times New Roman"/>
          <w:kern w:val="28"/>
          <w:sz w:val="28"/>
          <w:rtl/>
          <w:lang w:eastAsia="he-IL"/>
          <w14:ligatures w14:val="standardContextual"/>
        </w:rPr>
        <w:t>הבית ברחוב</w:t>
      </w:r>
      <w:r w:rsidR="00D83DAA">
        <w:rPr>
          <w:rFonts w:eastAsia="Times New Roman" w:hint="cs"/>
          <w:kern w:val="28"/>
          <w:sz w:val="28"/>
          <w:rtl/>
          <w:lang w:eastAsia="he-IL"/>
          <w14:ligatures w14:val="standardContextual"/>
        </w:rPr>
        <w:t xml:space="preserve"> [</w:t>
      </w:r>
      <w:r w:rsidRPr="00642EA3">
        <w:rPr>
          <w:rFonts w:eastAsia="Times New Roman"/>
          <w:kern w:val="28"/>
          <w:sz w:val="28"/>
          <w:rtl/>
          <w:lang w:eastAsia="he-IL"/>
          <w14:ligatures w14:val="standardContextual"/>
        </w:rPr>
        <w:t>ה</w:t>
      </w:r>
      <w:r w:rsidR="00D61AF5">
        <w:rPr>
          <w:rFonts w:eastAsia="Times New Roman" w:hint="cs"/>
          <w:kern w:val="28"/>
          <w:sz w:val="28"/>
          <w:rtl/>
          <w:lang w:eastAsia="he-IL"/>
          <w14:ligatures w14:val="standardContextual"/>
        </w:rPr>
        <w:t>'</w:t>
      </w:r>
      <w:r w:rsidR="00D83DAA">
        <w:rPr>
          <w:rFonts w:eastAsia="Times New Roman" w:hint="cs"/>
          <w:kern w:val="28"/>
          <w:sz w:val="28"/>
          <w:rtl/>
          <w:lang w:eastAsia="he-IL"/>
          <w14:ligatures w14:val="standardContextual"/>
        </w:rPr>
        <w:t>]</w:t>
      </w:r>
      <w:r w:rsidRPr="00642EA3">
        <w:rPr>
          <w:rFonts w:eastAsia="Times New Roman"/>
          <w:kern w:val="28"/>
          <w:sz w:val="28"/>
          <w:rtl/>
          <w:lang w:eastAsia="he-IL"/>
          <w14:ligatures w14:val="standardContextual"/>
        </w:rPr>
        <w:t xml:space="preserve"> רשום ע"ש שני הצדדים, ולכן הבית על שתי קומותיו שייך לשני הצדדים בחלקים שווים.  </w:t>
      </w:r>
    </w:p>
    <w:p w14:paraId="2F54D20A" w14:textId="77777777" w:rsidR="00642EA3" w:rsidRDefault="00642EA3" w:rsidP="00642EA3">
      <w:pPr>
        <w:rPr>
          <w:rFonts w:eastAsia="Times New Roman"/>
          <w:b/>
          <w:bCs/>
          <w:kern w:val="28"/>
          <w:sz w:val="28"/>
          <w:rtl/>
          <w:lang w:eastAsia="he-IL"/>
          <w14:ligatures w14:val="standardContextual"/>
        </w:rPr>
      </w:pPr>
    </w:p>
    <w:p w14:paraId="69128E0B" w14:textId="640A9C34" w:rsidR="00A40442" w:rsidRPr="00642EA3" w:rsidRDefault="00A40442" w:rsidP="00642EA3">
      <w:pPr>
        <w:pStyle w:val="aff0"/>
        <w:rPr>
          <w:rFonts w:eastAsiaTheme="minorHAnsi"/>
          <w:kern w:val="0"/>
          <w:sz w:val="22"/>
          <w:rtl/>
          <w:lang w:eastAsia="he-IL"/>
        </w:rPr>
      </w:pPr>
      <w:r w:rsidRPr="00642EA3">
        <w:rPr>
          <w:rtl/>
          <w:lang w:eastAsia="he-IL"/>
        </w:rPr>
        <w:t>הרב אברהם מייזלס</w:t>
      </w:r>
      <w:r w:rsidR="00642EA3">
        <w:rPr>
          <w:rFonts w:hint="cs"/>
          <w:rtl/>
          <w:lang w:eastAsia="he-IL"/>
        </w:rPr>
        <w:t xml:space="preserve"> </w:t>
      </w:r>
      <w:r w:rsidRPr="00642EA3">
        <w:rPr>
          <w:rtl/>
          <w:lang w:eastAsia="he-IL"/>
        </w:rPr>
        <w:t>- אב"ד</w:t>
      </w:r>
      <w:bookmarkStart w:id="1" w:name="_Hlk238554338"/>
    </w:p>
    <w:p w14:paraId="7454B53F" w14:textId="77777777" w:rsidR="00D83DAA" w:rsidRDefault="00D83DAA" w:rsidP="00642EA3">
      <w:pPr>
        <w:pStyle w:val="ad"/>
        <w:rPr>
          <w:kern w:val="28"/>
          <w:rtl/>
          <w14:ligatures w14:val="standardContextual"/>
        </w:rPr>
      </w:pPr>
    </w:p>
    <w:p w14:paraId="6B747D68" w14:textId="7BA7EDA4" w:rsidR="00A40442" w:rsidRPr="00A40442" w:rsidRDefault="00A40442" w:rsidP="00642EA3">
      <w:pPr>
        <w:pStyle w:val="ad"/>
        <w:rPr>
          <w:b/>
          <w:bCs/>
          <w:kern w:val="28"/>
          <w14:ligatures w14:val="standardContextual"/>
        </w:rPr>
      </w:pPr>
      <w:r w:rsidRPr="00A40442">
        <w:rPr>
          <w:kern w:val="28"/>
          <w:rtl/>
          <w14:ligatures w14:val="standardContextual"/>
        </w:rPr>
        <w:t xml:space="preserve">עיינתי היטב בפסק דינו של כבוד </w:t>
      </w:r>
      <w:proofErr w:type="spellStart"/>
      <w:r w:rsidRPr="00A40442">
        <w:rPr>
          <w:kern w:val="28"/>
          <w:rtl/>
          <w14:ligatures w14:val="standardContextual"/>
        </w:rPr>
        <w:t>האב"ד</w:t>
      </w:r>
      <w:proofErr w:type="spellEnd"/>
      <w:r w:rsidRPr="00A40442">
        <w:rPr>
          <w:kern w:val="28"/>
          <w:rtl/>
          <w14:ligatures w14:val="standardContextual"/>
        </w:rPr>
        <w:t xml:space="preserve"> ובנימוקיו, אשר כדרכו הינם ברורים ומבוססים.</w:t>
      </w:r>
    </w:p>
    <w:p w14:paraId="6EFBEB33" w14:textId="3EBDC162"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לגופו של ענין רק אציין בקצרה, כי לשיטת כבוד </w:t>
      </w:r>
      <w:proofErr w:type="spellStart"/>
      <w:r w:rsidRPr="00A40442">
        <w:rPr>
          <w:rFonts w:eastAsia="Times New Roman"/>
          <w:sz w:val="28"/>
          <w:rtl/>
          <w:lang w:eastAsia="he-IL"/>
          <w14:ligatures w14:val="standardContextual"/>
        </w:rPr>
        <w:t>האב"ד</w:t>
      </w:r>
      <w:proofErr w:type="spellEnd"/>
      <w:r w:rsidRPr="00A40442">
        <w:rPr>
          <w:rFonts w:eastAsia="Times New Roman"/>
          <w:sz w:val="28"/>
          <w:rtl/>
          <w:lang w:eastAsia="he-IL"/>
          <w14:ligatures w14:val="standardContextual"/>
        </w:rPr>
        <w:t>, הצדדים נדונים כנשואים מבחינה הלכתית, כאשר אין מדובר בנישואין סטנדרטיים</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אלא כאלה שהתקיימו </w:t>
      </w:r>
      <w:proofErr w:type="spellStart"/>
      <w:r w:rsidRPr="00A40442">
        <w:rPr>
          <w:rFonts w:eastAsia="Times New Roman"/>
          <w:sz w:val="28"/>
          <w:rtl/>
          <w:lang w:eastAsia="he-IL"/>
          <w14:ligatures w14:val="standardContextual"/>
        </w:rPr>
        <w:t>מכח</w:t>
      </w:r>
      <w:proofErr w:type="spellEnd"/>
      <w:r w:rsidRPr="00A40442">
        <w:rPr>
          <w:rFonts w:eastAsia="Times New Roman"/>
          <w:sz w:val="28"/>
          <w:rtl/>
          <w:lang w:eastAsia="he-IL"/>
          <w14:ligatures w14:val="standardContextual"/>
        </w:rPr>
        <w:t xml:space="preserve"> המציאות שהצדדים חזרו לחיות יחד</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ולפיכך על פי כל הנימוקים המפורטים מעלה דינם כנשואים.</w:t>
      </w:r>
    </w:p>
    <w:p w14:paraId="517AFD6F"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על כן הכריע </w:t>
      </w:r>
      <w:proofErr w:type="spellStart"/>
      <w:r w:rsidRPr="00A40442">
        <w:rPr>
          <w:rFonts w:eastAsia="Times New Roman"/>
          <w:sz w:val="28"/>
          <w:rtl/>
          <w:lang w:eastAsia="he-IL"/>
          <w14:ligatures w14:val="standardContextual"/>
        </w:rPr>
        <w:t>האב"ד</w:t>
      </w:r>
      <w:proofErr w:type="spellEnd"/>
      <w:r w:rsidRPr="00A40442">
        <w:rPr>
          <w:rFonts w:eastAsia="Times New Roman"/>
          <w:sz w:val="28"/>
          <w:rtl/>
          <w:lang w:eastAsia="he-IL"/>
          <w14:ligatures w14:val="standardContextual"/>
        </w:rPr>
        <w:t xml:space="preserve"> שגם הוראות חוק יחסי ממון חלות עליהם, בהיות שהם מוגדרים מבחינה הלכתית כנשואים.</w:t>
      </w:r>
    </w:p>
    <w:p w14:paraId="7659798A"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לענ"ד זהו דבר חידוש אשר אין לו כל התייחסות בחוק, עד כמה שידי מגעת, בהחלט מדובר בסוג של "לקונה" אשר עקב היותה נדירה יחסית, טרם קיבלה התייחסות מפורשת.</w:t>
      </w:r>
    </w:p>
    <w:p w14:paraId="6198AAC0"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לדעתי יש מקום לומר שהגם שמבחינה הלכתית האישה הינה "אשת איש" לכל דבר וענין, אין זה אלא </w:t>
      </w:r>
      <w:proofErr w:type="spellStart"/>
      <w:r w:rsidRPr="00A40442">
        <w:rPr>
          <w:rFonts w:eastAsia="Times New Roman"/>
          <w:sz w:val="28"/>
          <w:rtl/>
          <w:lang w:eastAsia="he-IL"/>
          <w14:ligatures w14:val="standardContextual"/>
        </w:rPr>
        <w:t>מכח</w:t>
      </w:r>
      <w:proofErr w:type="spellEnd"/>
      <w:r w:rsidRPr="00A40442">
        <w:rPr>
          <w:rFonts w:eastAsia="Times New Roman"/>
          <w:sz w:val="28"/>
          <w:rtl/>
          <w:lang w:eastAsia="he-IL"/>
          <w14:ligatures w14:val="standardContextual"/>
        </w:rPr>
        <w:t xml:space="preserve"> "קידושין" ודינה כמי </w:t>
      </w:r>
      <w:proofErr w:type="spellStart"/>
      <w:r w:rsidRPr="00A40442">
        <w:rPr>
          <w:rFonts w:eastAsia="Times New Roman"/>
          <w:sz w:val="28"/>
          <w:rtl/>
          <w:lang w:eastAsia="he-IL"/>
          <w14:ligatures w14:val="standardContextual"/>
        </w:rPr>
        <w:t>שנתקדשה</w:t>
      </w:r>
      <w:proofErr w:type="spellEnd"/>
      <w:r w:rsidRPr="00A40442">
        <w:rPr>
          <w:rFonts w:eastAsia="Times New Roman"/>
          <w:sz w:val="28"/>
          <w:rtl/>
          <w:lang w:eastAsia="he-IL"/>
          <w14:ligatures w14:val="standardContextual"/>
        </w:rPr>
        <w:t xml:space="preserve"> ולא נישאה, שכן לא מצינו מי מהפוסקים אשר יכתוב כי במקרה זה דינה כנשואה, משום שנישואין הינם רק על ידי קנין נישואין, מה שלא נעשה במקרה זה.</w:t>
      </w:r>
    </w:p>
    <w:p w14:paraId="38DB7F43"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נמצא אם כן, שגם לשיטות הפוסקים שדינה כאשת איש גמורה, אינה אלא "מקודשת", ולא "נשואה".</w:t>
      </w:r>
    </w:p>
    <w:p w14:paraId="57ADFC50"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כידוע, הזכויות הממוניות ההדדיות מבחינה הלכתית של הבעל באשה ולהיפך, מגיעות בעת הנישואין, מסתבר מאד </w:t>
      </w:r>
      <w:proofErr w:type="spellStart"/>
      <w:r w:rsidRPr="00A40442">
        <w:rPr>
          <w:rFonts w:eastAsia="Times New Roman"/>
          <w:sz w:val="28"/>
          <w:rtl/>
          <w:lang w:eastAsia="he-IL"/>
          <w14:ligatures w14:val="standardContextual"/>
        </w:rPr>
        <w:t>איפוא</w:t>
      </w:r>
      <w:proofErr w:type="spellEnd"/>
      <w:r w:rsidRPr="00A40442">
        <w:rPr>
          <w:rFonts w:eastAsia="Times New Roman"/>
          <w:sz w:val="28"/>
          <w:rtl/>
          <w:lang w:eastAsia="he-IL"/>
          <w14:ligatures w14:val="standardContextual"/>
        </w:rPr>
        <w:t>, כי גם הוראות חוק יחסי ממון והזכויות ההדדיות שבגינו, שייכות רק במקרה של נישואין ולא של קידושין בלבד.</w:t>
      </w:r>
    </w:p>
    <w:p w14:paraId="48B57423"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כאמור מדובר בסיטואציה נדירה ולפיכך החוק לא מצא לנכון להתייחס אליה, ואולם מסתבר מאד שכך היא ההכרעה אילו המחוקק היה נותן דעתו לסיטואציה זו, משום שכמו שמבחינה הלכתית הזכויות ההדדיות מגיעות בנישואין, כך גם בחוק.</w:t>
      </w:r>
    </w:p>
    <w:p w14:paraId="74352BD8" w14:textId="4909C4CD"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הווי אומר לא העובדה שהאישה חייבת גט מעיקר הדין היא </w:t>
      </w:r>
      <w:proofErr w:type="spellStart"/>
      <w:r w:rsidRPr="00A40442">
        <w:rPr>
          <w:rFonts w:eastAsia="Times New Roman"/>
          <w:sz w:val="28"/>
          <w:rtl/>
          <w:lang w:eastAsia="he-IL"/>
          <w14:ligatures w14:val="standardContextual"/>
        </w:rPr>
        <w:t>המגדירתה</w:t>
      </w:r>
      <w:proofErr w:type="spellEnd"/>
      <w:r w:rsidRPr="00A40442">
        <w:rPr>
          <w:rFonts w:eastAsia="Times New Roman"/>
          <w:sz w:val="28"/>
          <w:rtl/>
          <w:lang w:eastAsia="he-IL"/>
          <w14:ligatures w14:val="standardContextual"/>
        </w:rPr>
        <w:t xml:space="preserve"> כנשואה </w:t>
      </w:r>
      <w:proofErr w:type="spellStart"/>
      <w:r w:rsidRPr="00A40442">
        <w:rPr>
          <w:rFonts w:eastAsia="Times New Roman"/>
          <w:sz w:val="28"/>
          <w:rtl/>
          <w:lang w:eastAsia="he-IL"/>
          <w14:ligatures w14:val="standardContextual"/>
        </w:rPr>
        <w:t>לענין</w:t>
      </w:r>
      <w:proofErr w:type="spellEnd"/>
      <w:r w:rsidRPr="00A40442">
        <w:rPr>
          <w:rFonts w:eastAsia="Times New Roman"/>
          <w:sz w:val="28"/>
          <w:rtl/>
          <w:lang w:eastAsia="he-IL"/>
          <w14:ligatures w14:val="standardContextual"/>
        </w:rPr>
        <w:t xml:space="preserve"> חוק יחסי ממון, אלא רק זוג נשוי ממש, מבחינה הלכתית, הוא זה אשר הוראות החוק עוסקות בו, שכן החוק עוסק בהגדרתו, בבני זוג "נשואים" ומבחינה הלכתית וחוקית, תקופת ה"נישואין" של בני הזוג שלפנינו, הסתיימה עם סידור הגט בתאריך </w:t>
      </w:r>
      <w:r w:rsidR="00930DB8">
        <w:rPr>
          <w:rFonts w:eastAsia="Times New Roman" w:hint="cs"/>
          <w:sz w:val="28"/>
          <w:rtl/>
          <w:lang w:eastAsia="he-IL"/>
          <w14:ligatures w14:val="standardContextual"/>
        </w:rPr>
        <w:t>9</w:t>
      </w:r>
      <w:r w:rsidR="00D61AF5">
        <w:rPr>
          <w:rFonts w:eastAsia="Times New Roman" w:hint="cs"/>
          <w:sz w:val="28"/>
          <w:rtl/>
          <w:lang w:eastAsia="he-IL"/>
          <w14:ligatures w14:val="standardContextual"/>
        </w:rPr>
        <w:t>.</w:t>
      </w:r>
      <w:r w:rsidRPr="00A40442">
        <w:rPr>
          <w:rFonts w:eastAsia="Times New Roman"/>
          <w:sz w:val="28"/>
          <w:rtl/>
          <w:lang w:eastAsia="he-IL"/>
          <w14:ligatures w14:val="standardContextual"/>
        </w:rPr>
        <w:t>11</w:t>
      </w:r>
      <w:r w:rsidR="00D61AF5">
        <w:rPr>
          <w:rFonts w:eastAsia="Times New Roman" w:hint="cs"/>
          <w:sz w:val="28"/>
          <w:rtl/>
          <w:lang w:eastAsia="he-IL"/>
          <w14:ligatures w14:val="standardContextual"/>
        </w:rPr>
        <w:t>.</w:t>
      </w:r>
      <w:r w:rsidRPr="00A40442">
        <w:rPr>
          <w:rFonts w:eastAsia="Times New Roman"/>
          <w:sz w:val="28"/>
          <w:rtl/>
          <w:lang w:eastAsia="he-IL"/>
          <w14:ligatures w14:val="standardContextual"/>
        </w:rPr>
        <w:t>89, ובתקופה בה נבנתה הקומה השנייה, לא היו מוגדרים בני הזוג כ"נשואים" גם אם נגדיר את האישה כ"מקודשת" אך אינה "נשואה".</w:t>
      </w:r>
    </w:p>
    <w:p w14:paraId="36DFE219"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lastRenderedPageBreak/>
        <w:t xml:space="preserve">נוסף על כך, גם אם היא מוגדרת כ"נשואה" ועל פי הנימוקים שכתב כבוד </w:t>
      </w:r>
      <w:proofErr w:type="spellStart"/>
      <w:r w:rsidRPr="00A40442">
        <w:rPr>
          <w:rFonts w:eastAsia="Times New Roman"/>
          <w:sz w:val="28"/>
          <w:rtl/>
          <w:lang w:eastAsia="he-IL"/>
          <w14:ligatures w14:val="standardContextual"/>
        </w:rPr>
        <w:t>האב"ד</w:t>
      </w:r>
      <w:proofErr w:type="spellEnd"/>
      <w:r w:rsidRPr="00A40442">
        <w:rPr>
          <w:rFonts w:eastAsia="Times New Roman"/>
          <w:sz w:val="28"/>
          <w:rtl/>
          <w:lang w:eastAsia="he-IL"/>
          <w14:ligatures w14:val="standardContextual"/>
        </w:rPr>
        <w:t xml:space="preserve">, עדיין יש מקום לומר שאין זה אלא </w:t>
      </w:r>
      <w:proofErr w:type="spellStart"/>
      <w:r w:rsidRPr="00A40442">
        <w:rPr>
          <w:rFonts w:eastAsia="Times New Roman"/>
          <w:sz w:val="28"/>
          <w:rtl/>
          <w:lang w:eastAsia="he-IL"/>
          <w14:ligatures w14:val="standardContextual"/>
        </w:rPr>
        <w:t>לחומרא</w:t>
      </w:r>
      <w:proofErr w:type="spellEnd"/>
      <w:r w:rsidRPr="00A40442">
        <w:rPr>
          <w:rFonts w:eastAsia="Times New Roman"/>
          <w:sz w:val="28"/>
          <w:rtl/>
          <w:lang w:eastAsia="he-IL"/>
          <w14:ligatures w14:val="standardContextual"/>
        </w:rPr>
        <w:t xml:space="preserve"> ולא </w:t>
      </w:r>
      <w:proofErr w:type="spellStart"/>
      <w:r w:rsidRPr="00A40442">
        <w:rPr>
          <w:rFonts w:eastAsia="Times New Roman"/>
          <w:sz w:val="28"/>
          <w:rtl/>
          <w:lang w:eastAsia="he-IL"/>
          <w14:ligatures w14:val="standardContextual"/>
        </w:rPr>
        <w:t>לקולא</w:t>
      </w:r>
      <w:proofErr w:type="spellEnd"/>
      <w:r w:rsidRPr="00A40442">
        <w:rPr>
          <w:rFonts w:eastAsia="Times New Roman"/>
          <w:sz w:val="28"/>
          <w:rtl/>
          <w:lang w:eastAsia="he-IL"/>
          <w14:ligatures w14:val="standardContextual"/>
        </w:rPr>
        <w:t xml:space="preserve">, בפרט לאור שיטת </w:t>
      </w:r>
      <w:proofErr w:type="spellStart"/>
      <w:r w:rsidRPr="00A40442">
        <w:rPr>
          <w:rFonts w:eastAsia="Times New Roman"/>
          <w:sz w:val="28"/>
          <w:rtl/>
          <w:lang w:eastAsia="he-IL"/>
          <w14:ligatures w14:val="standardContextual"/>
        </w:rPr>
        <w:t>הרדב"ז</w:t>
      </w:r>
      <w:proofErr w:type="spellEnd"/>
      <w:r w:rsidRPr="00A40442">
        <w:rPr>
          <w:rFonts w:eastAsia="Times New Roman"/>
          <w:sz w:val="28"/>
          <w:rtl/>
          <w:lang w:eastAsia="he-IL"/>
          <w14:ligatures w14:val="standardContextual"/>
        </w:rPr>
        <w:t xml:space="preserve"> שהוזכרה בדברי כבוד </w:t>
      </w:r>
      <w:proofErr w:type="spellStart"/>
      <w:r w:rsidRPr="00A40442">
        <w:rPr>
          <w:rFonts w:eastAsia="Times New Roman"/>
          <w:sz w:val="28"/>
          <w:rtl/>
          <w:lang w:eastAsia="he-IL"/>
          <w14:ligatures w14:val="standardContextual"/>
        </w:rPr>
        <w:t>האב"ד</w:t>
      </w:r>
      <w:proofErr w:type="spellEnd"/>
      <w:r w:rsidRPr="00A40442">
        <w:rPr>
          <w:rFonts w:eastAsia="Times New Roman"/>
          <w:sz w:val="28"/>
          <w:rtl/>
          <w:lang w:eastAsia="he-IL"/>
          <w14:ligatures w14:val="standardContextual"/>
        </w:rPr>
        <w:t>, שהגם שהיא שנויה במחלוקת, מידי ספק לא יצאנו, בפרט במקרה זה, שניתן לומר "הוכיח סופו על תחילתו", שהרי לאחר זמן נישאו הצדדים בנישואין אזרחיים, הגם שיכלו בנקל להינשא בנישואין כדמו"י כמעשיהם בראשונה, העובדה שבחרו למסד בסופו של יום את החיים המשותפים בדרך אזרחית ולא כדמו"י, מוכיחה לכאורה כי לא ראו בחייהם המשותפים מעשה קידושין.</w:t>
      </w:r>
    </w:p>
    <w:p w14:paraId="45F1B0D3"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נמצא </w:t>
      </w:r>
      <w:proofErr w:type="spellStart"/>
      <w:r w:rsidRPr="00A40442">
        <w:rPr>
          <w:rFonts w:eastAsia="Times New Roman"/>
          <w:sz w:val="28"/>
          <w:rtl/>
          <w:lang w:eastAsia="he-IL"/>
          <w14:ligatures w14:val="standardContextual"/>
        </w:rPr>
        <w:t>איפוא</w:t>
      </w:r>
      <w:proofErr w:type="spellEnd"/>
      <w:r w:rsidRPr="00A40442">
        <w:rPr>
          <w:rFonts w:eastAsia="Times New Roman"/>
          <w:sz w:val="28"/>
          <w:rtl/>
          <w:lang w:eastAsia="he-IL"/>
          <w14:ligatures w14:val="standardContextual"/>
        </w:rPr>
        <w:t xml:space="preserve"> שיש מקום לטעון, כי גם אם </w:t>
      </w:r>
      <w:proofErr w:type="spellStart"/>
      <w:r w:rsidRPr="00A40442">
        <w:rPr>
          <w:rFonts w:eastAsia="Times New Roman"/>
          <w:sz w:val="28"/>
          <w:rtl/>
          <w:lang w:eastAsia="he-IL"/>
          <w14:ligatures w14:val="standardContextual"/>
        </w:rPr>
        <w:t>לחומרא</w:t>
      </w:r>
      <w:proofErr w:type="spellEnd"/>
      <w:r w:rsidRPr="00A40442">
        <w:rPr>
          <w:rFonts w:eastAsia="Times New Roman"/>
          <w:sz w:val="28"/>
          <w:rtl/>
          <w:lang w:eastAsia="he-IL"/>
          <w14:ligatures w14:val="standardContextual"/>
        </w:rPr>
        <w:t xml:space="preserve"> יש לדונם כנשואים, </w:t>
      </w:r>
      <w:proofErr w:type="spellStart"/>
      <w:r w:rsidRPr="00A40442">
        <w:rPr>
          <w:rFonts w:eastAsia="Times New Roman"/>
          <w:sz w:val="28"/>
          <w:rtl/>
          <w:lang w:eastAsia="he-IL"/>
          <w14:ligatures w14:val="standardContextual"/>
        </w:rPr>
        <w:t>לקולא</w:t>
      </w:r>
      <w:proofErr w:type="spellEnd"/>
      <w:r w:rsidRPr="00A40442">
        <w:rPr>
          <w:rFonts w:eastAsia="Times New Roman"/>
          <w:sz w:val="28"/>
          <w:rtl/>
          <w:lang w:eastAsia="he-IL"/>
          <w14:ligatures w14:val="standardContextual"/>
        </w:rPr>
        <w:t xml:space="preserve"> אין לומר כן, דרך משל, האם ניתן לקבוע בוודאות שבמידה והאיש היה הולך לעולמו ח"ו טרם מתן הגט ולצדדים לא היו ילדים, ניתן היה לאפשר לקיים מצוות ייבום ולהתירה בוודאות להינשא לאחיו של הבעל? מסופקני מאד.</w:t>
      </w:r>
    </w:p>
    <w:p w14:paraId="64195D07" w14:textId="64022DD1"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כך גם </w:t>
      </w:r>
      <w:proofErr w:type="spellStart"/>
      <w:r w:rsidRPr="00A40442">
        <w:rPr>
          <w:rFonts w:eastAsia="Times New Roman"/>
          <w:sz w:val="28"/>
          <w:rtl/>
          <w:lang w:eastAsia="he-IL"/>
          <w14:ligatures w14:val="standardContextual"/>
        </w:rPr>
        <w:t>לענין</w:t>
      </w:r>
      <w:proofErr w:type="spellEnd"/>
      <w:r w:rsidRPr="00A40442">
        <w:rPr>
          <w:rFonts w:eastAsia="Times New Roman"/>
          <w:sz w:val="28"/>
          <w:rtl/>
          <w:lang w:eastAsia="he-IL"/>
          <w14:ligatures w14:val="standardContextual"/>
        </w:rPr>
        <w:t xml:space="preserve"> ממון, במקרה האמור, האם היינו מנהיגים בוודאות דין ירושת בעל להוציא מיורשי האישה? ספק גדול, שכן הדבר שנוי במחלוקת הפוסקים ובפרט במקרה זה</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וכאמור.</w:t>
      </w:r>
    </w:p>
    <w:p w14:paraId="3C12AF3C" w14:textId="42A48DD5"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נמצא אם כן שמבחינה ממונית ולפחות מספק, לא היו לצדדים זכויות ממוניות זה על זה </w:t>
      </w:r>
      <w:proofErr w:type="spellStart"/>
      <w:r w:rsidRPr="00A40442">
        <w:rPr>
          <w:rFonts w:eastAsia="Times New Roman"/>
          <w:sz w:val="28"/>
          <w:rtl/>
          <w:lang w:eastAsia="he-IL"/>
          <w14:ligatures w14:val="standardContextual"/>
        </w:rPr>
        <w:t>מכח</w:t>
      </w:r>
      <w:proofErr w:type="spellEnd"/>
      <w:r w:rsidRPr="00A40442">
        <w:rPr>
          <w:rFonts w:eastAsia="Times New Roman"/>
          <w:sz w:val="28"/>
          <w:rtl/>
          <w:lang w:eastAsia="he-IL"/>
          <w14:ligatures w14:val="standardContextual"/>
        </w:rPr>
        <w:t xml:space="preserve"> הנישואין.</w:t>
      </w:r>
    </w:p>
    <w:p w14:paraId="0928055F" w14:textId="65D303C3" w:rsidR="00642EA3"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על כן לדעתי, גם אם נסכים כי האישה חייבת בגט מעיקר הדין, הוראות חוק יחסי ממון במקרה זה, לא יחולו על בני הזוג לתקופה שמעת סידור הגט בתאריך 9</w:t>
      </w:r>
      <w:r w:rsidR="00D61AF5">
        <w:rPr>
          <w:rFonts w:eastAsia="Times New Roman" w:hint="cs"/>
          <w:sz w:val="28"/>
          <w:rtl/>
          <w:lang w:eastAsia="he-IL"/>
          <w14:ligatures w14:val="standardContextual"/>
        </w:rPr>
        <w:t>.</w:t>
      </w:r>
      <w:r w:rsidRPr="00A40442">
        <w:rPr>
          <w:rFonts w:eastAsia="Times New Roman"/>
          <w:sz w:val="28"/>
          <w:rtl/>
          <w:lang w:eastAsia="he-IL"/>
          <w14:ligatures w14:val="standardContextual"/>
        </w:rPr>
        <w:t>11</w:t>
      </w:r>
      <w:r w:rsidR="00D61AF5">
        <w:rPr>
          <w:rFonts w:eastAsia="Times New Roman" w:hint="cs"/>
          <w:sz w:val="28"/>
          <w:rtl/>
          <w:lang w:eastAsia="he-IL"/>
          <w14:ligatures w14:val="standardContextual"/>
        </w:rPr>
        <w:t>.</w:t>
      </w:r>
      <w:r w:rsidRPr="00A40442">
        <w:rPr>
          <w:rFonts w:eastAsia="Times New Roman"/>
          <w:sz w:val="28"/>
          <w:rtl/>
          <w:lang w:eastAsia="he-IL"/>
          <w14:ligatures w14:val="standardContextual"/>
        </w:rPr>
        <w:t>89.</w:t>
      </w:r>
    </w:p>
    <w:p w14:paraId="3D5BEB1F" w14:textId="074479E4" w:rsidR="00A40442" w:rsidRPr="00642EA3" w:rsidRDefault="00A40442" w:rsidP="00642EA3">
      <w:pPr>
        <w:pStyle w:val="aff0"/>
        <w:rPr>
          <w:rtl/>
          <w:lang w:eastAsia="he-IL"/>
        </w:rPr>
      </w:pPr>
      <w:r w:rsidRPr="00A40442">
        <w:rPr>
          <w:rtl/>
          <w:lang w:eastAsia="he-IL"/>
        </w:rPr>
        <w:t>הרב נחמיה נשר</w:t>
      </w:r>
      <w:r w:rsidR="00642EA3">
        <w:rPr>
          <w:rFonts w:hint="cs"/>
          <w:rtl/>
          <w:lang w:eastAsia="he-IL"/>
        </w:rPr>
        <w:t xml:space="preserve"> </w:t>
      </w:r>
      <w:r w:rsidRPr="00A40442">
        <w:rPr>
          <w:rtl/>
          <w:lang w:eastAsia="he-IL"/>
        </w:rPr>
        <w:t>- דיין</w:t>
      </w:r>
    </w:p>
    <w:p w14:paraId="04EFB964" w14:textId="77777777" w:rsidR="00D83DAA" w:rsidRDefault="00D83DAA" w:rsidP="00642EA3">
      <w:pPr>
        <w:pStyle w:val="ad"/>
        <w:rPr>
          <w:kern w:val="28"/>
          <w:rtl/>
          <w14:ligatures w14:val="standardContextual"/>
        </w:rPr>
      </w:pPr>
    </w:p>
    <w:p w14:paraId="3ABC981C" w14:textId="3D5870E4" w:rsidR="00A40442" w:rsidRPr="00A40442" w:rsidRDefault="00A40442" w:rsidP="00642EA3">
      <w:pPr>
        <w:pStyle w:val="ad"/>
        <w:rPr>
          <w:kern w:val="28"/>
          <w:rtl/>
          <w14:ligatures w14:val="standardContextual"/>
        </w:rPr>
      </w:pPr>
      <w:r w:rsidRPr="00A40442">
        <w:rPr>
          <w:kern w:val="28"/>
          <w:rtl/>
          <w14:ligatures w14:val="standardContextual"/>
        </w:rPr>
        <w:t xml:space="preserve">חובתי להגיב להערתו המחכימה של עמיתי </w:t>
      </w:r>
      <w:proofErr w:type="spellStart"/>
      <w:r w:rsidRPr="00A40442">
        <w:rPr>
          <w:kern w:val="28"/>
          <w:rtl/>
          <w14:ligatures w14:val="standardContextual"/>
        </w:rPr>
        <w:t>הגר"נ</w:t>
      </w:r>
      <w:proofErr w:type="spellEnd"/>
      <w:r w:rsidRPr="00A40442">
        <w:rPr>
          <w:kern w:val="28"/>
          <w:rtl/>
          <w14:ligatures w14:val="standardContextual"/>
        </w:rPr>
        <w:t xml:space="preserve"> נשר </w:t>
      </w:r>
      <w:proofErr w:type="spellStart"/>
      <w:r w:rsidRPr="00A40442">
        <w:rPr>
          <w:kern w:val="28"/>
          <w:rtl/>
          <w14:ligatures w14:val="standardContextual"/>
        </w:rPr>
        <w:t>שליט"א</w:t>
      </w:r>
      <w:proofErr w:type="spellEnd"/>
      <w:r w:rsidRPr="00A40442">
        <w:rPr>
          <w:b/>
          <w:bCs/>
          <w:kern w:val="28"/>
          <w:rtl/>
          <w14:ligatures w14:val="standardContextual"/>
        </w:rPr>
        <w:t xml:space="preserve"> </w:t>
      </w:r>
      <w:r w:rsidRPr="00A40442">
        <w:rPr>
          <w:kern w:val="28"/>
          <w:rtl/>
          <w14:ligatures w14:val="standardContextual"/>
        </w:rPr>
        <w:t>לפסק הדין שכתבתי.</w:t>
      </w:r>
    </w:p>
    <w:p w14:paraId="1F74349C" w14:textId="36955A5D" w:rsidR="00642EA3"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ראשית, הערה זו מקורה הוא למעשה הגמרא במסכת קידושין דף י' ע"א שמסתפקת שם אם ביאה אירוסין עושה או נישואין עושה. כלומר לצד אחד בגמ' על ידי ביאה חלים נישואין. אולם כל הספק שם בגמ' הוא כאשר </w:t>
      </w:r>
      <w:proofErr w:type="spellStart"/>
      <w:r w:rsidRPr="00A40442">
        <w:rPr>
          <w:rFonts w:eastAsia="Times New Roman"/>
          <w:sz w:val="28"/>
          <w:rtl/>
          <w:lang w:eastAsia="he-IL"/>
          <w14:ligatures w14:val="standardContextual"/>
        </w:rPr>
        <w:t>היתה</w:t>
      </w:r>
      <w:proofErr w:type="spellEnd"/>
      <w:r w:rsidRPr="00A40442">
        <w:rPr>
          <w:rFonts w:eastAsia="Times New Roman"/>
          <w:sz w:val="28"/>
          <w:rtl/>
          <w:lang w:eastAsia="he-IL"/>
          <w14:ligatures w14:val="standardContextual"/>
        </w:rPr>
        <w:t xml:space="preserve"> ביאה ראשונה בלבד</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ויתכן שכפעולה ראשונית בלבד</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והרי זה דומה לכסף או שטר. אבל ביאה שנייה לאחר ביאה ראשונה זהו מעשה נישואין</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כמו שכותב הרמב"ם בפרק י' מהלכות אישות הלכה א': </w:t>
      </w:r>
    </w:p>
    <w:p w14:paraId="63D9E898" w14:textId="5BD1FF11" w:rsidR="00642EA3" w:rsidRDefault="00A40442" w:rsidP="00642EA3">
      <w:pPr>
        <w:pStyle w:val="a9"/>
        <w:rPr>
          <w:rFonts w:eastAsia="Times New Roman"/>
          <w:sz w:val="28"/>
          <w:rtl/>
          <w:lang w:eastAsia="he-IL"/>
          <w14:ligatures w14:val="standardContextual"/>
        </w:rPr>
      </w:pPr>
      <w:r w:rsidRPr="00A40442">
        <w:rPr>
          <w:rFonts w:eastAsia="Times New Roman"/>
          <w:sz w:val="28"/>
          <w:rtl/>
          <w:lang w:eastAsia="he-IL"/>
          <w14:ligatures w14:val="standardContextual"/>
        </w:rPr>
        <w:t>"הארוסה אסורה לבעלה מדברי סופרים כל זמן שהיא בבית אביה</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והבא על ארוסתו בבית חמיו מכין אותו מכת </w:t>
      </w:r>
      <w:r w:rsidRPr="00345EB8">
        <w:rPr>
          <w:rFonts w:eastAsia="Times New Roman"/>
          <w:sz w:val="28"/>
          <w:rtl/>
          <w:lang w:eastAsia="he-IL"/>
          <w14:ligatures w14:val="standardContextual"/>
        </w:rPr>
        <w:t>מרדות</w:t>
      </w:r>
      <w:r w:rsidRPr="00A40442">
        <w:rPr>
          <w:rFonts w:eastAsia="Times New Roman"/>
          <w:sz w:val="28"/>
          <w:rtl/>
          <w:lang w:eastAsia="he-IL"/>
          <w14:ligatures w14:val="standardContextual"/>
        </w:rPr>
        <w:t>, ואפילו אם קידשה בביאה אסור לו לבוא עליה ביאה שניה בבית אביה עד שיביא אותה לתוך ביתו ויתייחד עמה...</w:t>
      </w:r>
      <w:r w:rsidR="00345EB8">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 ויחוד זה הוא הנקרא כניסה לחופה והוא הנקרא נישואין בכל מקום. והבא על ארוסתו לשם נישואין אחר שקידשה משיערה בה קנאה ונעשית נשואה...</w:t>
      </w:r>
      <w:r w:rsidR="00345EB8">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w:t>
      </w:r>
      <w:r w:rsidR="00642EA3">
        <w:rPr>
          <w:rFonts w:eastAsia="Times New Roman" w:hint="cs"/>
          <w:sz w:val="28"/>
          <w:rtl/>
          <w:lang w:eastAsia="he-IL"/>
          <w14:ligatures w14:val="standardContextual"/>
        </w:rPr>
        <w:t>.</w:t>
      </w:r>
    </w:p>
    <w:p w14:paraId="7B7D8632" w14:textId="77777777" w:rsidR="00345EB8"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מפורש בדברי רמב"ם: </w:t>
      </w:r>
    </w:p>
    <w:p w14:paraId="15D159F0" w14:textId="77777777" w:rsidR="00345EB8"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א) שבביאה שניה</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אם הביאה לתוך ביתו ובא עליה הרי זה נישואין. </w:t>
      </w:r>
    </w:p>
    <w:p w14:paraId="70243CF7" w14:textId="19921F8E"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ב) על פי דברי </w:t>
      </w:r>
      <w:proofErr w:type="spellStart"/>
      <w:r w:rsidRPr="00A40442">
        <w:rPr>
          <w:rFonts w:eastAsia="Times New Roman"/>
          <w:sz w:val="28"/>
          <w:rtl/>
          <w:lang w:eastAsia="he-IL"/>
          <w14:ligatures w14:val="standardContextual"/>
        </w:rPr>
        <w:t>הגמ</w:t>
      </w:r>
      <w:proofErr w:type="spellEnd"/>
      <w:r w:rsidRPr="00A40442">
        <w:rPr>
          <w:rFonts w:eastAsia="Times New Roman"/>
          <w:sz w:val="28"/>
          <w:rtl/>
          <w:lang w:eastAsia="he-IL"/>
          <w14:ligatures w14:val="standardContextual"/>
        </w:rPr>
        <w:t xml:space="preserve">' הנ"ל ברור שביאה עושה אירוסין, זו כידוע משנה מפורשת בריש מסכת קידושין. האישה נקנית </w:t>
      </w:r>
      <w:r w:rsidR="00D61AF5" w:rsidRPr="0041649A">
        <w:rPr>
          <w:rFonts w:eastAsia="Times New Roman" w:hint="cs"/>
          <w:sz w:val="28"/>
          <w:szCs w:val="24"/>
          <w:rtl/>
          <w:lang w:eastAsia="he-IL"/>
          <w14:ligatures w14:val="standardContextual"/>
        </w:rPr>
        <w:t>(</w:t>
      </w:r>
      <w:r w:rsidRPr="0041649A">
        <w:rPr>
          <w:rFonts w:eastAsia="Times New Roman"/>
          <w:sz w:val="28"/>
          <w:szCs w:val="24"/>
          <w:rtl/>
          <w:lang w:eastAsia="he-IL"/>
          <w14:ligatures w14:val="standardContextual"/>
        </w:rPr>
        <w:t>מתקדשת</w:t>
      </w:r>
      <w:r w:rsidR="00D61AF5" w:rsidRPr="0041649A">
        <w:rPr>
          <w:rFonts w:eastAsia="Times New Roman" w:hint="cs"/>
          <w:sz w:val="28"/>
          <w:szCs w:val="24"/>
          <w:rtl/>
          <w:lang w:eastAsia="he-IL"/>
          <w14:ligatures w14:val="standardContextual"/>
        </w:rPr>
        <w:t>)</w:t>
      </w:r>
      <w:r w:rsidRPr="00A40442">
        <w:rPr>
          <w:rFonts w:eastAsia="Times New Roman"/>
          <w:sz w:val="28"/>
          <w:rtl/>
          <w:lang w:eastAsia="he-IL"/>
          <w14:ligatures w14:val="standardContextual"/>
        </w:rPr>
        <w:t xml:space="preserve"> בשלושה דרכים, ואחד מהם הוא ביאה. ועל כך כותב הרמב"ם אם בא על ארוסתו היינו לאחר שהתקדשה לו עם תחילת הביאה היא נעשית נשואה לו.</w:t>
      </w:r>
      <w:r w:rsidRPr="00A40442">
        <w:rPr>
          <w:rFonts w:eastAsia="Times New Roman"/>
          <w:sz w:val="28"/>
          <w:rtl/>
          <w:lang w:eastAsia="he-IL"/>
          <w14:ligatures w14:val="standardContextual"/>
        </w:rPr>
        <w:br/>
      </w:r>
      <w:r w:rsidRPr="00A40442">
        <w:rPr>
          <w:rFonts w:eastAsia="Times New Roman"/>
          <w:sz w:val="28"/>
          <w:rtl/>
          <w:lang w:eastAsia="he-IL"/>
          <w14:ligatures w14:val="standardContextual"/>
        </w:rPr>
        <w:lastRenderedPageBreak/>
        <w:t xml:space="preserve">כמובן במקרה דנן הם חיו חיי אישות לאחר הגירושין במשך שנים רבות, כפי שקיימת חזקה שהתכוונו לשם קידושין, החזקה אינה נעצרת באמצע  וחזקה שהתכוונו לשם נישואין.                  </w:t>
      </w:r>
    </w:p>
    <w:p w14:paraId="3943C4EB" w14:textId="24120F8E"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כמו כן, כבר בתחילת דברי הבאתי את דבריו </w:t>
      </w:r>
      <w:proofErr w:type="spellStart"/>
      <w:r w:rsidRPr="00A40442">
        <w:rPr>
          <w:rFonts w:eastAsia="Times New Roman"/>
          <w:sz w:val="28"/>
          <w:rtl/>
          <w:lang w:eastAsia="he-IL"/>
          <w14:ligatures w14:val="standardContextual"/>
        </w:rPr>
        <w:t>הרמ"א</w:t>
      </w:r>
      <w:proofErr w:type="spellEnd"/>
      <w:r w:rsidRPr="00A40442">
        <w:rPr>
          <w:rFonts w:eastAsia="Times New Roman"/>
          <w:sz w:val="28"/>
          <w:rtl/>
          <w:lang w:eastAsia="he-IL"/>
          <w14:ligatures w14:val="standardContextual"/>
        </w:rPr>
        <w:t xml:space="preserve"> </w:t>
      </w:r>
      <w:proofErr w:type="spellStart"/>
      <w:r w:rsidRPr="00A40442">
        <w:rPr>
          <w:rFonts w:eastAsia="Times New Roman"/>
          <w:sz w:val="28"/>
          <w:rtl/>
          <w:lang w:eastAsia="he-IL"/>
          <w14:ligatures w14:val="standardContextual"/>
        </w:rPr>
        <w:t>באבהע"ז</w:t>
      </w:r>
      <w:proofErr w:type="spellEnd"/>
      <w:r w:rsidRPr="00A40442">
        <w:rPr>
          <w:rFonts w:eastAsia="Times New Roman"/>
          <w:sz w:val="28"/>
          <w:rtl/>
          <w:lang w:eastAsia="he-IL"/>
          <w14:ligatures w14:val="standardContextual"/>
        </w:rPr>
        <w:t xml:space="preserve"> סי' קמ"ט בדין מחזיר גרושתו שדינה כנשואה</w:t>
      </w:r>
      <w:r w:rsidR="00345EB8">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עם כל מה שהאריכו המפרשים בהבנת דבריו.</w:t>
      </w:r>
    </w:p>
    <w:p w14:paraId="77E64881" w14:textId="77777777"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לאור זאת קבעתי שדינם של הצדדים שחזרו לחיות ביחד לאחר גירושיהם, כדין זוג נשוי לכל הזכויות ההלכתיות והחוקיות.</w:t>
      </w:r>
    </w:p>
    <w:p w14:paraId="58787499" w14:textId="63EB84D7" w:rsidR="00A40442" w:rsidRPr="00A40442" w:rsidRDefault="00D61AF5" w:rsidP="00642EA3">
      <w:pPr>
        <w:pStyle w:val="ae"/>
        <w:rPr>
          <w:rFonts w:eastAsia="Times New Roman"/>
          <w:sz w:val="28"/>
          <w:rtl/>
          <w:lang w:eastAsia="he-IL"/>
          <w14:ligatures w14:val="standardContextual"/>
        </w:rPr>
      </w:pPr>
      <w:r w:rsidRPr="00345EB8">
        <w:rPr>
          <w:rFonts w:eastAsia="Times New Roman" w:hint="cs"/>
          <w:sz w:val="28"/>
          <w:rtl/>
          <w:lang w:eastAsia="he-IL"/>
          <w14:ligatures w14:val="standardContextual"/>
        </w:rPr>
        <w:t>(</w:t>
      </w:r>
      <w:r w:rsidR="00A40442" w:rsidRPr="00345EB8">
        <w:rPr>
          <w:rFonts w:eastAsia="Times New Roman"/>
          <w:sz w:val="28"/>
          <w:rtl/>
          <w:lang w:eastAsia="he-IL"/>
          <w14:ligatures w14:val="standardContextual"/>
        </w:rPr>
        <w:t>נוסף על כך נראה לי אף אם נניח כהבנתו של עמיתי, לו יצויר מקרה של זוג שחי רק עם קידושין בלי נישואין</w:t>
      </w:r>
      <w:r w:rsidR="00A40442" w:rsidRPr="00345EB8">
        <w:rPr>
          <w:rFonts w:eastAsia="Times New Roman"/>
          <w:sz w:val="24"/>
          <w:szCs w:val="24"/>
          <w:rtl/>
          <w:lang w:eastAsia="he-IL"/>
          <w14:ligatures w14:val="standardContextual"/>
        </w:rPr>
        <w:t xml:space="preserve"> (מציאות שיכולה </w:t>
      </w:r>
      <w:proofErr w:type="spellStart"/>
      <w:r w:rsidR="00A40442" w:rsidRPr="00345EB8">
        <w:rPr>
          <w:rFonts w:eastAsia="Times New Roman"/>
          <w:sz w:val="24"/>
          <w:szCs w:val="24"/>
          <w:rtl/>
          <w:lang w:eastAsia="he-IL"/>
          <w14:ligatures w14:val="standardContextual"/>
        </w:rPr>
        <w:t>היתה</w:t>
      </w:r>
      <w:proofErr w:type="spellEnd"/>
      <w:r w:rsidR="00A40442" w:rsidRPr="00345EB8">
        <w:rPr>
          <w:rFonts w:eastAsia="Times New Roman"/>
          <w:sz w:val="24"/>
          <w:szCs w:val="24"/>
          <w:rtl/>
          <w:lang w:eastAsia="he-IL"/>
          <w14:ligatures w14:val="standardContextual"/>
        </w:rPr>
        <w:t xml:space="preserve"> להתרחש בתקופת התלמוד, מאחר והיה פער זמן לפעמים ארוך בין אקט הקידושין לאקט הנישואין)</w:t>
      </w:r>
      <w:r w:rsidR="00A40442" w:rsidRPr="00345EB8">
        <w:rPr>
          <w:rFonts w:eastAsia="Times New Roman"/>
          <w:sz w:val="28"/>
          <w:rtl/>
          <w:lang w:eastAsia="he-IL"/>
          <w14:ligatures w14:val="standardContextual"/>
        </w:rPr>
        <w:t>,</w:t>
      </w:r>
      <w:r w:rsidR="00A40442" w:rsidRPr="00A40442">
        <w:rPr>
          <w:rFonts w:eastAsia="Times New Roman"/>
          <w:sz w:val="28"/>
          <w:rtl/>
          <w:lang w:eastAsia="he-IL"/>
          <w14:ligatures w14:val="standardContextual"/>
        </w:rPr>
        <w:t xml:space="preserve"> זה לא גרע מזוג החי "כידועים בציבור" שאין ביניהם לא קידושין ולא נישואים למרות שהסדירו ביניהם מסמך להיותם ידועים בציבור, חלה עליהם "הלכת שיתוף", גם בזוג שחי עם קידושין בלבד שהאישה דינה כאשת איש חלה עליהם "הלכת השיתוף"</w:t>
      </w:r>
      <w:r>
        <w:rPr>
          <w:rFonts w:eastAsia="Times New Roman" w:hint="cs"/>
          <w:sz w:val="28"/>
          <w:rtl/>
          <w:lang w:eastAsia="he-IL"/>
          <w14:ligatures w14:val="standardContextual"/>
        </w:rPr>
        <w:t>)</w:t>
      </w:r>
      <w:r w:rsidR="00A40442" w:rsidRPr="00A40442">
        <w:rPr>
          <w:rFonts w:eastAsia="Times New Roman"/>
          <w:sz w:val="28"/>
          <w:rtl/>
          <w:lang w:eastAsia="he-IL"/>
          <w14:ligatures w14:val="standardContextual"/>
        </w:rPr>
        <w:t xml:space="preserve">.   </w:t>
      </w:r>
    </w:p>
    <w:p w14:paraId="201DF59D" w14:textId="60260ACA"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בסופו של עניין כפי שכבר כתבתי, אין צורך להיזקק כאן לחוק יחסי ממון, אלא רישום המקרקעין הוא הקובע הלכתית וחוקית, וברישום המקרקעין הנכס ברחוב</w:t>
      </w:r>
      <w:r w:rsidR="00D83DAA">
        <w:rPr>
          <w:rFonts w:eastAsia="Times New Roman" w:hint="cs"/>
          <w:sz w:val="28"/>
          <w:rtl/>
          <w:lang w:eastAsia="he-IL"/>
          <w14:ligatures w14:val="standardContextual"/>
        </w:rPr>
        <w:t xml:space="preserve"> [</w:t>
      </w:r>
      <w:r w:rsidRPr="00A40442">
        <w:rPr>
          <w:rFonts w:eastAsia="Times New Roman"/>
          <w:sz w:val="28"/>
          <w:rtl/>
          <w:lang w:eastAsia="he-IL"/>
          <w14:ligatures w14:val="standardContextual"/>
        </w:rPr>
        <w:t>ה</w:t>
      </w:r>
      <w:r w:rsidR="00D61AF5">
        <w:rPr>
          <w:rFonts w:eastAsia="Times New Roman" w:hint="cs"/>
          <w:sz w:val="28"/>
          <w:rtl/>
          <w:lang w:eastAsia="he-IL"/>
          <w14:ligatures w14:val="standardContextual"/>
        </w:rPr>
        <w:t>'</w:t>
      </w:r>
      <w:r w:rsidR="00D83DAA">
        <w:rPr>
          <w:rFonts w:eastAsia="Times New Roman" w:hint="cs"/>
          <w:sz w:val="28"/>
          <w:rtl/>
          <w:lang w:eastAsia="he-IL"/>
          <w14:ligatures w14:val="standardContextual"/>
        </w:rPr>
        <w:t>]</w:t>
      </w:r>
      <w:r w:rsidRPr="00A40442">
        <w:rPr>
          <w:rFonts w:eastAsia="Times New Roman"/>
          <w:sz w:val="28"/>
          <w:rtl/>
          <w:lang w:eastAsia="he-IL"/>
          <w14:ligatures w14:val="standardContextual"/>
        </w:rPr>
        <w:t xml:space="preserve"> מופיע על שם שני הצדדים בחלקים שווים.    </w:t>
      </w:r>
    </w:p>
    <w:p w14:paraId="38644E52" w14:textId="410F6939" w:rsidR="00A40442" w:rsidRPr="00642EA3" w:rsidRDefault="00A40442" w:rsidP="00642EA3">
      <w:pPr>
        <w:pStyle w:val="aff0"/>
        <w:rPr>
          <w:rtl/>
          <w:lang w:eastAsia="he-IL"/>
        </w:rPr>
      </w:pPr>
      <w:r w:rsidRPr="00642EA3">
        <w:rPr>
          <w:rtl/>
          <w:lang w:eastAsia="he-IL"/>
        </w:rPr>
        <w:t>הרב אברהם מייזלס</w:t>
      </w:r>
      <w:r w:rsidR="00642EA3">
        <w:rPr>
          <w:rFonts w:hint="cs"/>
          <w:rtl/>
          <w:lang w:eastAsia="he-IL"/>
        </w:rPr>
        <w:t xml:space="preserve"> </w:t>
      </w:r>
      <w:r w:rsidRPr="00642EA3">
        <w:rPr>
          <w:rtl/>
          <w:lang w:eastAsia="he-IL"/>
        </w:rPr>
        <w:t xml:space="preserve">- אב"ד       </w:t>
      </w:r>
    </w:p>
    <w:bookmarkEnd w:id="1"/>
    <w:p w14:paraId="2E2C9BA0" w14:textId="77777777" w:rsidR="00D83DAA" w:rsidRDefault="00D83DAA" w:rsidP="00642EA3">
      <w:pPr>
        <w:pStyle w:val="ae"/>
        <w:rPr>
          <w:rFonts w:eastAsia="Times New Roman"/>
          <w:sz w:val="28"/>
          <w:rtl/>
          <w:lang w:eastAsia="he-IL"/>
          <w14:ligatures w14:val="standardContextual"/>
        </w:rPr>
      </w:pPr>
    </w:p>
    <w:p w14:paraId="7B1D61CC" w14:textId="70BA17B6" w:rsidR="00A40442" w:rsidRPr="00A40442" w:rsidRDefault="00A40442" w:rsidP="00642EA3">
      <w:pPr>
        <w:pStyle w:val="ae"/>
        <w:rPr>
          <w:rFonts w:eastAsia="Times New Roman"/>
          <w:sz w:val="28"/>
          <w:rtl/>
          <w:lang w:eastAsia="he-IL"/>
          <w14:ligatures w14:val="standardContextual"/>
        </w:rPr>
      </w:pPr>
      <w:r w:rsidRPr="00A40442">
        <w:rPr>
          <w:rFonts w:eastAsia="Times New Roman"/>
          <w:sz w:val="28"/>
          <w:rtl/>
          <w:lang w:eastAsia="he-IL"/>
          <w14:ligatures w14:val="standardContextual"/>
        </w:rPr>
        <w:t xml:space="preserve">לאור האמור פוסק ביה"ד כדעת הרוב:  </w:t>
      </w:r>
    </w:p>
    <w:p w14:paraId="62E136D2" w14:textId="4307F0C8" w:rsidR="00642EA3" w:rsidRDefault="00A40442" w:rsidP="00642EA3">
      <w:pPr>
        <w:pStyle w:val="a8"/>
        <w:numPr>
          <w:ilvl w:val="0"/>
          <w:numId w:val="14"/>
        </w:numPr>
        <w:rPr>
          <w:lang w:eastAsia="he-IL"/>
        </w:rPr>
      </w:pPr>
      <w:r w:rsidRPr="00A40442">
        <w:rPr>
          <w:rtl/>
          <w:lang w:eastAsia="he-IL"/>
        </w:rPr>
        <w:t>הצדדים חזרו לחיות כבעל ואשה לאחר שהתגרשו</w:t>
      </w:r>
      <w:r w:rsidRPr="00A40442">
        <w:rPr>
          <w:rFonts w:hint="cs"/>
          <w:rtl/>
          <w:lang w:eastAsia="he-IL"/>
        </w:rPr>
        <w:t xml:space="preserve"> בתאריך 9</w:t>
      </w:r>
      <w:r w:rsidR="00D61AF5">
        <w:rPr>
          <w:rFonts w:hint="cs"/>
          <w:rtl/>
          <w:lang w:eastAsia="he-IL"/>
        </w:rPr>
        <w:t>.</w:t>
      </w:r>
      <w:r w:rsidRPr="00A40442">
        <w:rPr>
          <w:rFonts w:hint="cs"/>
          <w:rtl/>
          <w:lang w:eastAsia="he-IL"/>
        </w:rPr>
        <w:t>11</w:t>
      </w:r>
      <w:r w:rsidR="00D61AF5">
        <w:rPr>
          <w:rFonts w:hint="cs"/>
          <w:rtl/>
          <w:lang w:eastAsia="he-IL"/>
        </w:rPr>
        <w:t>.</w:t>
      </w:r>
      <w:r w:rsidRPr="00A40442">
        <w:rPr>
          <w:rFonts w:hint="cs"/>
          <w:rtl/>
          <w:lang w:eastAsia="he-IL"/>
        </w:rPr>
        <w:t>89</w:t>
      </w:r>
      <w:r w:rsidRPr="00A40442">
        <w:rPr>
          <w:rtl/>
          <w:lang w:eastAsia="he-IL"/>
        </w:rPr>
        <w:t xml:space="preserve">. לכן חל עליהם דין בעל ואישה נשואים </w:t>
      </w:r>
      <w:r w:rsidRPr="00A40442">
        <w:rPr>
          <w:rFonts w:hint="cs"/>
          <w:rtl/>
          <w:lang w:eastAsia="he-IL"/>
        </w:rPr>
        <w:t>הן הלכתית והן חוקית עד למתן הגט הנוסף בתאריך 20</w:t>
      </w:r>
      <w:r w:rsidR="00D61AF5">
        <w:rPr>
          <w:rFonts w:hint="cs"/>
          <w:rtl/>
          <w:lang w:eastAsia="he-IL"/>
        </w:rPr>
        <w:t>.</w:t>
      </w:r>
      <w:r w:rsidRPr="00A40442">
        <w:rPr>
          <w:rFonts w:hint="cs"/>
          <w:rtl/>
          <w:lang w:eastAsia="he-IL"/>
        </w:rPr>
        <w:t>3</w:t>
      </w:r>
      <w:r w:rsidR="00D61AF5">
        <w:rPr>
          <w:rFonts w:hint="cs"/>
          <w:rtl/>
          <w:lang w:eastAsia="he-IL"/>
        </w:rPr>
        <w:t>.</w:t>
      </w:r>
      <w:r w:rsidRPr="00A40442">
        <w:rPr>
          <w:rFonts w:hint="cs"/>
          <w:rtl/>
          <w:lang w:eastAsia="he-IL"/>
        </w:rPr>
        <w:t>26</w:t>
      </w:r>
      <w:r w:rsidRPr="00A40442">
        <w:rPr>
          <w:rtl/>
          <w:lang w:eastAsia="he-IL"/>
        </w:rPr>
        <w:t>.</w:t>
      </w:r>
    </w:p>
    <w:p w14:paraId="7D9260D3" w14:textId="1D20904C" w:rsidR="00642EA3" w:rsidRPr="00642EA3" w:rsidRDefault="00A40442" w:rsidP="00642EA3">
      <w:pPr>
        <w:pStyle w:val="a8"/>
        <w:numPr>
          <w:ilvl w:val="0"/>
          <w:numId w:val="14"/>
        </w:numPr>
        <w:rPr>
          <w:lang w:eastAsia="he-IL"/>
        </w:rPr>
      </w:pPr>
      <w:r w:rsidRPr="00642EA3">
        <w:rPr>
          <w:rFonts w:eastAsia="Times New Roman"/>
          <w:kern w:val="28"/>
          <w:sz w:val="28"/>
          <w:rtl/>
          <w:lang w:eastAsia="he-IL"/>
          <w14:ligatures w14:val="standardContextual"/>
        </w:rPr>
        <w:t>הבית ברחוב</w:t>
      </w:r>
      <w:r w:rsidR="00D83DAA">
        <w:rPr>
          <w:rFonts w:eastAsia="Times New Roman" w:hint="cs"/>
          <w:kern w:val="28"/>
          <w:sz w:val="28"/>
          <w:rtl/>
          <w:lang w:eastAsia="he-IL"/>
          <w14:ligatures w14:val="standardContextual"/>
        </w:rPr>
        <w:t xml:space="preserve"> [</w:t>
      </w:r>
      <w:r w:rsidRPr="00642EA3">
        <w:rPr>
          <w:rFonts w:eastAsia="Times New Roman"/>
          <w:kern w:val="28"/>
          <w:sz w:val="28"/>
          <w:rtl/>
          <w:lang w:eastAsia="he-IL"/>
          <w14:ligatures w14:val="standardContextual"/>
        </w:rPr>
        <w:t>ה</w:t>
      </w:r>
      <w:r w:rsidR="00D61AF5">
        <w:rPr>
          <w:rFonts w:eastAsia="Times New Roman" w:hint="cs"/>
          <w:kern w:val="28"/>
          <w:sz w:val="28"/>
          <w:rtl/>
          <w:lang w:eastAsia="he-IL"/>
          <w14:ligatures w14:val="standardContextual"/>
        </w:rPr>
        <w:t>'</w:t>
      </w:r>
      <w:r w:rsidR="00D83DAA">
        <w:rPr>
          <w:rFonts w:eastAsia="Times New Roman" w:hint="cs"/>
          <w:kern w:val="28"/>
          <w:sz w:val="28"/>
          <w:rtl/>
          <w:lang w:eastAsia="he-IL"/>
          <w14:ligatures w14:val="standardContextual"/>
        </w:rPr>
        <w:t>]</w:t>
      </w:r>
      <w:r w:rsidRPr="00642EA3">
        <w:rPr>
          <w:rFonts w:eastAsia="Times New Roman"/>
          <w:kern w:val="28"/>
          <w:sz w:val="28"/>
          <w:rtl/>
          <w:lang w:eastAsia="he-IL"/>
          <w14:ligatures w14:val="standardContextual"/>
        </w:rPr>
        <w:t xml:space="preserve"> רשום ע"ש שני הצדדים, ולכן הבית על שתי קומותיו שייך לשני הצדדים בחלקים שווים.  </w:t>
      </w:r>
    </w:p>
    <w:p w14:paraId="77ADC343" w14:textId="038AC41E" w:rsidR="00A40442" w:rsidRPr="00642EA3" w:rsidRDefault="00A40442" w:rsidP="00642EA3">
      <w:pPr>
        <w:pStyle w:val="a8"/>
        <w:numPr>
          <w:ilvl w:val="0"/>
          <w:numId w:val="14"/>
        </w:numPr>
        <w:rPr>
          <w:lang w:eastAsia="he-IL"/>
        </w:rPr>
      </w:pPr>
      <w:r w:rsidRPr="00642EA3">
        <w:rPr>
          <w:rFonts w:eastAsia="Times New Roman"/>
          <w:kern w:val="28"/>
          <w:sz w:val="28"/>
          <w:rtl/>
          <w:lang w:eastAsia="he-IL"/>
          <w14:ligatures w14:val="standardContextual"/>
        </w:rPr>
        <w:t>ניתן להגיש פסיקתא לחתימה בהתאם.</w:t>
      </w:r>
    </w:p>
    <w:p w14:paraId="64A13256" w14:textId="77777777" w:rsidR="00642EA3" w:rsidRDefault="00642EA3" w:rsidP="00642EA3">
      <w:pPr>
        <w:pStyle w:val="ae"/>
        <w:rPr>
          <w:sz w:val="28"/>
          <w:rtl/>
        </w:rPr>
      </w:pPr>
    </w:p>
    <w:p w14:paraId="6EA5EF7B" w14:textId="6A5CB7DB" w:rsidR="00D2282D" w:rsidRDefault="00A40442" w:rsidP="00642EA3">
      <w:pPr>
        <w:pStyle w:val="ae"/>
        <w:rPr>
          <w:rtl/>
          <w:lang w:eastAsia="he-IL"/>
        </w:rPr>
      </w:pPr>
      <w:r w:rsidRPr="00A40442">
        <w:rPr>
          <w:rFonts w:hint="cs"/>
          <w:sz w:val="28"/>
          <w:rtl/>
        </w:rPr>
        <w:t xml:space="preserve">ניתן ביום </w:t>
      </w:r>
      <w:sdt>
        <w:sdtPr>
          <w:rPr>
            <w:sz w:val="28"/>
            <w:rtl/>
          </w:rPr>
          <w:alias w:val="SignatureHebDate"/>
          <w:tag w:val="SignatureHebDate"/>
          <w:id w:val="449598963"/>
          <w:placeholder>
            <w:docPart w:val="43B9F17AB1C84A248BE1ED89AE25D92F"/>
          </w:placeholder>
        </w:sdtPr>
        <w:sdtContent>
          <w:r w:rsidRPr="00A40442">
            <w:rPr>
              <w:sz w:val="28"/>
              <w:rtl/>
            </w:rPr>
            <w:t xml:space="preserve">י"ג באלול </w:t>
          </w:r>
          <w:proofErr w:type="spellStart"/>
          <w:r w:rsidRPr="00A40442">
            <w:rPr>
              <w:sz w:val="28"/>
              <w:rtl/>
            </w:rPr>
            <w:t>התשפ"ו</w:t>
          </w:r>
          <w:proofErr w:type="spellEnd"/>
        </w:sdtContent>
      </w:sdt>
      <w:r w:rsidRPr="00A40442">
        <w:rPr>
          <w:rFonts w:hint="cs"/>
          <w:sz w:val="28"/>
          <w:rtl/>
        </w:rPr>
        <w:t xml:space="preserve"> </w:t>
      </w:r>
      <w:r w:rsidRPr="00D83DAA">
        <w:rPr>
          <w:rFonts w:hint="cs"/>
          <w:sz w:val="24"/>
          <w:szCs w:val="24"/>
          <w:rtl/>
        </w:rPr>
        <w:t>(</w:t>
      </w:r>
      <w:sdt>
        <w:sdtPr>
          <w:rPr>
            <w:sz w:val="24"/>
            <w:szCs w:val="24"/>
            <w:rtl/>
          </w:rPr>
          <w:alias w:val="SignatureDate"/>
          <w:tag w:val="SignatureDate"/>
          <w:id w:val="-1711794969"/>
          <w:placeholder>
            <w:docPart w:val="A5A47F32A4DF49FCBD4C6BFA3FFB7AC8"/>
          </w:placeholder>
        </w:sdtPr>
        <w:sdtContent>
          <w:r w:rsidRPr="00D83DAA">
            <w:rPr>
              <w:sz w:val="24"/>
              <w:szCs w:val="24"/>
              <w:rtl/>
            </w:rPr>
            <w:t>26/08/2026</w:t>
          </w:r>
        </w:sdtContent>
      </w:sdt>
      <w:r w:rsidRPr="00D83DAA">
        <w:rPr>
          <w:rFonts w:hint="cs"/>
          <w:sz w:val="24"/>
          <w:szCs w:val="24"/>
          <w:rtl/>
        </w:rPr>
        <w:t>).</w:t>
      </w:r>
      <w:bookmarkStart w:id="2" w:name="WillDocument"/>
      <w:bookmarkEnd w:id="2"/>
    </w:p>
    <w:p w14:paraId="17B62617" w14:textId="6032C551" w:rsidR="000C4D9A" w:rsidRPr="007C217E" w:rsidRDefault="000C4D9A" w:rsidP="00D83DAA">
      <w:pPr>
        <w:pStyle w:val="aff0"/>
        <w:rPr>
          <w:rtl/>
        </w:rPr>
      </w:pPr>
      <w:r w:rsidRPr="007C217E">
        <w:rPr>
          <w:rFonts w:hint="cs"/>
          <w:rtl/>
        </w:rPr>
        <w:t xml:space="preserve">הרב </w:t>
      </w:r>
      <w:r w:rsidR="00642EA3">
        <w:rPr>
          <w:rFonts w:hint="cs"/>
          <w:rtl/>
        </w:rPr>
        <w:t>אברהם מייזלס</w:t>
      </w:r>
      <w:r w:rsidR="00E26F1B">
        <w:rPr>
          <w:rFonts w:hint="cs"/>
          <w:rtl/>
        </w:rPr>
        <w:t xml:space="preserve"> </w:t>
      </w:r>
      <w:r w:rsidR="00E26F1B">
        <w:rPr>
          <w:rtl/>
        </w:rPr>
        <w:t>–</w:t>
      </w:r>
      <w:r w:rsidR="00E26F1B">
        <w:rPr>
          <w:rFonts w:hint="cs"/>
          <w:rtl/>
        </w:rPr>
        <w:t xml:space="preserve"> אב"ד</w:t>
      </w:r>
      <w:r w:rsidR="00E26F1B">
        <w:rPr>
          <w:rtl/>
        </w:rPr>
        <w:tab/>
      </w:r>
      <w:r w:rsidRPr="007C217E">
        <w:rPr>
          <w:rFonts w:hint="cs"/>
          <w:rtl/>
        </w:rPr>
        <w:t xml:space="preserve">הרב </w:t>
      </w:r>
      <w:r w:rsidR="00642EA3">
        <w:rPr>
          <w:rFonts w:hint="cs"/>
          <w:rtl/>
        </w:rPr>
        <w:t>בנימין לסרי</w:t>
      </w:r>
      <w:r w:rsidR="00E26F1B">
        <w:rPr>
          <w:rtl/>
        </w:rPr>
        <w:tab/>
      </w:r>
      <w:r w:rsidRPr="007C217E">
        <w:rPr>
          <w:rFonts w:hint="cs"/>
          <w:rtl/>
        </w:rPr>
        <w:t xml:space="preserve">הרב </w:t>
      </w:r>
      <w:r w:rsidR="00642EA3">
        <w:rPr>
          <w:rFonts w:hint="cs"/>
          <w:rtl/>
        </w:rPr>
        <w:t>נחמיה נשר</w:t>
      </w:r>
    </w:p>
    <w:p w14:paraId="2C10D3D3" w14:textId="7B7675D4" w:rsidR="001A042C" w:rsidRDefault="00873CB9" w:rsidP="00873CB9">
      <w:pPr>
        <w:pStyle w:val="ad"/>
        <w:rPr>
          <w:rFonts w:eastAsia="Calibri"/>
          <w:rtl/>
        </w:rPr>
      </w:pPr>
      <w:r w:rsidRPr="001E50C8">
        <w:rPr>
          <w:rFonts w:hint="cs"/>
          <w:color w:val="7F7F7F" w:themeColor="text1" w:themeTint="80"/>
          <w:rtl/>
        </w:rPr>
        <w:t>עותק זה עשוי להכיל שינויי ותיקוני עריכה</w:t>
      </w:r>
      <w:bookmarkEnd w:id="0"/>
    </w:p>
    <w:sectPr w:rsidR="001A042C"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6FF68" w14:textId="77777777" w:rsidR="000752C9" w:rsidRDefault="000752C9" w:rsidP="00E2756A">
      <w:r>
        <w:separator/>
      </w:r>
    </w:p>
  </w:endnote>
  <w:endnote w:type="continuationSeparator" w:id="0">
    <w:p w14:paraId="452A166F" w14:textId="77777777" w:rsidR="000752C9" w:rsidRDefault="000752C9"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66914458"/>
      <w:docPartObj>
        <w:docPartGallery w:val="Page Numbers (Bottom of Page)"/>
        <w:docPartUnique/>
      </w:docPartObj>
    </w:sdtPr>
    <w:sdtContent>
      <w:p w14:paraId="3853C780" w14:textId="77777777" w:rsidR="005C4F42" w:rsidRDefault="005C4F42" w:rsidP="00F4312B">
        <w:pPr>
          <w:pStyle w:val="aff4"/>
          <w:jc w:val="center"/>
        </w:pPr>
        <w:r>
          <w:fldChar w:fldCharType="begin"/>
        </w:r>
        <w:r>
          <w:rPr>
            <w:rtl/>
            <w:cs/>
          </w:rPr>
          <w:instrText>PAGE   \* MERGEFORMAT</w:instrText>
        </w:r>
        <w:r>
          <w:fldChar w:fldCharType="separate"/>
        </w:r>
        <w:r w:rsidR="002C58F5" w:rsidRPr="002C58F5">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59B0A" w14:textId="77777777" w:rsidR="000752C9" w:rsidRDefault="000752C9" w:rsidP="00E2756A">
      <w:r>
        <w:separator/>
      </w:r>
    </w:p>
  </w:footnote>
  <w:footnote w:type="continuationSeparator" w:id="0">
    <w:p w14:paraId="7C7BD95F" w14:textId="77777777" w:rsidR="000752C9" w:rsidRDefault="000752C9"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DEAC" w14:textId="77777777" w:rsidR="005C4F42" w:rsidRDefault="005C4F42" w:rsidP="00FA1DAB">
    <w:pPr>
      <w:pStyle w:val="aff2"/>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07CC4DD2" w14:textId="77777777" w:rsidR="005C4F42" w:rsidRDefault="005C4F42" w:rsidP="00FA1DAB">
    <w:pPr>
      <w:pStyle w:val="aff2"/>
      <w:jc w:val="center"/>
      <w:rPr>
        <w:rFonts w:cs="David"/>
        <w:b/>
        <w:bCs/>
        <w:color w:val="1F497D" w:themeColor="text2"/>
        <w:sz w:val="32"/>
        <w:szCs w:val="32"/>
      </w:rPr>
    </w:pPr>
    <w:r>
      <w:rPr>
        <w:rFonts w:cs="David" w:hint="cs"/>
        <w:b/>
        <w:bCs/>
        <w:color w:val="1F497D" w:themeColor="text2"/>
        <w:sz w:val="32"/>
        <w:szCs w:val="32"/>
        <w:rtl/>
      </w:rPr>
      <w:t>בתי הדין הרבניים</w:t>
    </w:r>
  </w:p>
  <w:p w14:paraId="43D222E4" w14:textId="77777777" w:rsidR="005C4F42" w:rsidRDefault="005C4F42">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1E66"/>
    <w:multiLevelType w:val="hybridMultilevel"/>
    <w:tmpl w:val="872411FA"/>
    <w:lvl w:ilvl="0" w:tplc="4C3AE6B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74650B"/>
    <w:multiLevelType w:val="hybridMultilevel"/>
    <w:tmpl w:val="B5283206"/>
    <w:lvl w:ilvl="0" w:tplc="0622C448">
      <w:start w:val="1"/>
      <w:numFmt w:val="hebrew1"/>
      <w:lvlText w:val="%1)"/>
      <w:lvlJc w:val="left"/>
      <w:pPr>
        <w:ind w:left="757" w:hanging="360"/>
      </w:pPr>
    </w:lvl>
    <w:lvl w:ilvl="1" w:tplc="04090019">
      <w:start w:val="1"/>
      <w:numFmt w:val="lowerLetter"/>
      <w:lvlText w:val="%2."/>
      <w:lvlJc w:val="left"/>
      <w:pPr>
        <w:ind w:left="1477" w:hanging="360"/>
      </w:pPr>
    </w:lvl>
    <w:lvl w:ilvl="2" w:tplc="0409001B">
      <w:start w:val="1"/>
      <w:numFmt w:val="lowerRoman"/>
      <w:lvlText w:val="%3."/>
      <w:lvlJc w:val="right"/>
      <w:pPr>
        <w:ind w:left="2197" w:hanging="180"/>
      </w:p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start w:val="1"/>
      <w:numFmt w:val="lowerRoman"/>
      <w:lvlText w:val="%6."/>
      <w:lvlJc w:val="right"/>
      <w:pPr>
        <w:ind w:left="4357" w:hanging="180"/>
      </w:pPr>
    </w:lvl>
    <w:lvl w:ilvl="6" w:tplc="0409000F">
      <w:start w:val="1"/>
      <w:numFmt w:val="decimal"/>
      <w:lvlText w:val="%7."/>
      <w:lvlJc w:val="left"/>
      <w:pPr>
        <w:ind w:left="5077" w:hanging="360"/>
      </w:pPr>
    </w:lvl>
    <w:lvl w:ilvl="7" w:tplc="04090019">
      <w:start w:val="1"/>
      <w:numFmt w:val="lowerLetter"/>
      <w:lvlText w:val="%8."/>
      <w:lvlJc w:val="left"/>
      <w:pPr>
        <w:ind w:left="5797" w:hanging="360"/>
      </w:pPr>
    </w:lvl>
    <w:lvl w:ilvl="8" w:tplc="0409001B">
      <w:start w:val="1"/>
      <w:numFmt w:val="lowerRoman"/>
      <w:lvlText w:val="%9."/>
      <w:lvlJc w:val="right"/>
      <w:pPr>
        <w:ind w:left="6517" w:hanging="180"/>
      </w:pPr>
    </w:lvl>
  </w:abstractNum>
  <w:abstractNum w:abstractNumId="2"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3" w15:restartNumberingAfterBreak="0">
    <w:nsid w:val="25D751D8"/>
    <w:multiLevelType w:val="hybridMultilevel"/>
    <w:tmpl w:val="E3E2F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87A16D8"/>
    <w:multiLevelType w:val="hybridMultilevel"/>
    <w:tmpl w:val="DC3EE456"/>
    <w:lvl w:ilvl="0" w:tplc="B556261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6F73499"/>
    <w:multiLevelType w:val="hybridMultilevel"/>
    <w:tmpl w:val="DC4E1F54"/>
    <w:lvl w:ilvl="0" w:tplc="CD8E565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7855CE"/>
    <w:multiLevelType w:val="hybridMultilevel"/>
    <w:tmpl w:val="F4AAA3CC"/>
    <w:lvl w:ilvl="0" w:tplc="DD6E431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4480598"/>
    <w:multiLevelType w:val="hybridMultilevel"/>
    <w:tmpl w:val="73002FFA"/>
    <w:lvl w:ilvl="0" w:tplc="07B03E38">
      <w:numFmt w:val="bullet"/>
      <w:lvlText w:val="-"/>
      <w:lvlJc w:val="left"/>
      <w:pPr>
        <w:ind w:left="1080" w:hanging="360"/>
      </w:pPr>
      <w:rPr>
        <w:rFonts w:ascii="FrankRuehl" w:eastAsiaTheme="minorHAnsi" w:hAnsi="FrankRuehl" w:cs="FrankRueh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4C667C7"/>
    <w:multiLevelType w:val="hybridMultilevel"/>
    <w:tmpl w:val="872411FA"/>
    <w:lvl w:ilvl="0" w:tplc="FFFFFFFF">
      <w:start w:val="1"/>
      <w:numFmt w:val="hebrew1"/>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1"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10"/>
      <w:lvlText w:val="%2."/>
      <w:lvlJc w:val="left"/>
      <w:pPr>
        <w:tabs>
          <w:tab w:val="num" w:pos="794"/>
        </w:tabs>
        <w:ind w:left="397" w:hanging="397"/>
      </w:pPr>
      <w:rPr>
        <w:rFonts w:cs="Narkisim" w:hint="cs"/>
        <w:bCs/>
        <w:iCs w:val="0"/>
        <w:szCs w:val="24"/>
      </w:rPr>
    </w:lvl>
    <w:lvl w:ilvl="2">
      <w:start w:val="1"/>
      <w:numFmt w:val="decimal"/>
      <w:pStyle w:val="12"/>
      <w:lvlText w:val="(%3)"/>
      <w:lvlJc w:val="left"/>
      <w:pPr>
        <w:tabs>
          <w:tab w:val="num" w:pos="397"/>
        </w:tabs>
        <w:ind w:left="0" w:firstLine="0"/>
      </w:pPr>
      <w:rPr>
        <w:rFonts w:cs="Narkisim" w:hint="cs"/>
        <w:bCs/>
        <w:i/>
        <w:iCs w:val="0"/>
        <w:szCs w:val="22"/>
      </w:rPr>
    </w:lvl>
    <w:lvl w:ilvl="3">
      <w:start w:val="1"/>
      <w:numFmt w:val="hebrew1"/>
      <w:pStyle w:val="a1"/>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C286143"/>
    <w:multiLevelType w:val="hybridMultilevel"/>
    <w:tmpl w:val="AA38B8CA"/>
    <w:lvl w:ilvl="0" w:tplc="65E208B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75723049">
    <w:abstractNumId w:val="10"/>
  </w:num>
  <w:num w:numId="2" w16cid:durableId="1217474447">
    <w:abstractNumId w:val="11"/>
  </w:num>
  <w:num w:numId="3" w16cid:durableId="493028407">
    <w:abstractNumId w:val="5"/>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422146097">
    <w:abstractNumId w:val="11"/>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10"/>
        <w:lvlText w:val="%2."/>
        <w:lvlJc w:val="left"/>
        <w:pPr>
          <w:tabs>
            <w:tab w:val="num" w:pos="794"/>
          </w:tabs>
          <w:ind w:left="397" w:hanging="397"/>
        </w:pPr>
        <w:rPr>
          <w:rFonts w:cs="Narkisim" w:hint="cs"/>
          <w:bCs/>
          <w:iCs w:val="0"/>
          <w:szCs w:val="24"/>
        </w:rPr>
      </w:lvl>
    </w:lvlOverride>
    <w:lvlOverride w:ilvl="2">
      <w:lvl w:ilvl="2">
        <w:start w:val="1"/>
        <w:numFmt w:val="decimal"/>
        <w:pStyle w:val="12"/>
        <w:lvlText w:val="(%3)"/>
        <w:lvlJc w:val="left"/>
        <w:pPr>
          <w:tabs>
            <w:tab w:val="num" w:pos="397"/>
          </w:tabs>
          <w:ind w:left="0" w:firstLine="0"/>
        </w:pPr>
        <w:rPr>
          <w:rFonts w:cs="Narkisim" w:hint="cs"/>
          <w:bCs/>
          <w:i/>
          <w:iCs w:val="0"/>
          <w:szCs w:val="22"/>
        </w:rPr>
      </w:lvl>
    </w:lvlOverride>
    <w:lvlOverride w:ilvl="3">
      <w:lvl w:ilvl="3">
        <w:start w:val="1"/>
        <w:numFmt w:val="hebrew1"/>
        <w:pStyle w:val="a1"/>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16cid:durableId="738136950">
    <w:abstractNumId w:val="2"/>
  </w:num>
  <w:num w:numId="6" w16cid:durableId="179586770">
    <w:abstractNumId w:val="3"/>
  </w:num>
  <w:num w:numId="7" w16cid:durableId="17103800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2529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6000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49374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9396925">
    <w:abstractNumId w:val="8"/>
  </w:num>
  <w:num w:numId="12" w16cid:durableId="205682580">
    <w:abstractNumId w:val="12"/>
  </w:num>
  <w:num w:numId="13" w16cid:durableId="1506245919">
    <w:abstractNumId w:val="7"/>
  </w:num>
  <w:num w:numId="14" w16cid:durableId="171600713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B9"/>
    <w:rsid w:val="00006421"/>
    <w:rsid w:val="00007AAC"/>
    <w:rsid w:val="00016E13"/>
    <w:rsid w:val="00031825"/>
    <w:rsid w:val="00047688"/>
    <w:rsid w:val="000503D0"/>
    <w:rsid w:val="000733BF"/>
    <w:rsid w:val="000752C9"/>
    <w:rsid w:val="000845A3"/>
    <w:rsid w:val="000C4D9A"/>
    <w:rsid w:val="000C6ECB"/>
    <w:rsid w:val="000E0573"/>
    <w:rsid w:val="000F3C26"/>
    <w:rsid w:val="000F3D3C"/>
    <w:rsid w:val="000F6784"/>
    <w:rsid w:val="00101D87"/>
    <w:rsid w:val="00121D89"/>
    <w:rsid w:val="00141834"/>
    <w:rsid w:val="001463AE"/>
    <w:rsid w:val="0017301A"/>
    <w:rsid w:val="0018486C"/>
    <w:rsid w:val="001967DF"/>
    <w:rsid w:val="001A042C"/>
    <w:rsid w:val="001B3547"/>
    <w:rsid w:val="001D1878"/>
    <w:rsid w:val="001E35DA"/>
    <w:rsid w:val="001F3BB4"/>
    <w:rsid w:val="00204DAE"/>
    <w:rsid w:val="0021118F"/>
    <w:rsid w:val="002434A7"/>
    <w:rsid w:val="0026102F"/>
    <w:rsid w:val="00261487"/>
    <w:rsid w:val="00275BF8"/>
    <w:rsid w:val="002A5312"/>
    <w:rsid w:val="002C2A55"/>
    <w:rsid w:val="002C58F5"/>
    <w:rsid w:val="002D61EF"/>
    <w:rsid w:val="002E3E86"/>
    <w:rsid w:val="002F6A54"/>
    <w:rsid w:val="00331442"/>
    <w:rsid w:val="0033569C"/>
    <w:rsid w:val="00336118"/>
    <w:rsid w:val="00345EB8"/>
    <w:rsid w:val="003506B0"/>
    <w:rsid w:val="00351B33"/>
    <w:rsid w:val="003772D4"/>
    <w:rsid w:val="003832F1"/>
    <w:rsid w:val="00387082"/>
    <w:rsid w:val="00397A64"/>
    <w:rsid w:val="003B2EE9"/>
    <w:rsid w:val="003C4C33"/>
    <w:rsid w:val="003D0A52"/>
    <w:rsid w:val="003D284F"/>
    <w:rsid w:val="003E6E03"/>
    <w:rsid w:val="00403D72"/>
    <w:rsid w:val="004041EE"/>
    <w:rsid w:val="0041649A"/>
    <w:rsid w:val="00422365"/>
    <w:rsid w:val="00444DC3"/>
    <w:rsid w:val="00445DE0"/>
    <w:rsid w:val="00460F4E"/>
    <w:rsid w:val="00463BFC"/>
    <w:rsid w:val="00467D95"/>
    <w:rsid w:val="00473811"/>
    <w:rsid w:val="00482C8E"/>
    <w:rsid w:val="00493D5A"/>
    <w:rsid w:val="004A0125"/>
    <w:rsid w:val="004A70E1"/>
    <w:rsid w:val="004B2706"/>
    <w:rsid w:val="004B71CD"/>
    <w:rsid w:val="004D4898"/>
    <w:rsid w:val="004D5C89"/>
    <w:rsid w:val="004D747B"/>
    <w:rsid w:val="004E057B"/>
    <w:rsid w:val="004E46AC"/>
    <w:rsid w:val="005016EF"/>
    <w:rsid w:val="0051147D"/>
    <w:rsid w:val="0052256F"/>
    <w:rsid w:val="00542D5D"/>
    <w:rsid w:val="005452D2"/>
    <w:rsid w:val="005564F3"/>
    <w:rsid w:val="005605C5"/>
    <w:rsid w:val="00563C6C"/>
    <w:rsid w:val="005725FD"/>
    <w:rsid w:val="00582096"/>
    <w:rsid w:val="005C4F42"/>
    <w:rsid w:val="005F5DE4"/>
    <w:rsid w:val="005F76CC"/>
    <w:rsid w:val="006040E7"/>
    <w:rsid w:val="006107D4"/>
    <w:rsid w:val="00614786"/>
    <w:rsid w:val="00621046"/>
    <w:rsid w:val="00642EA3"/>
    <w:rsid w:val="00644E42"/>
    <w:rsid w:val="0065626D"/>
    <w:rsid w:val="00661492"/>
    <w:rsid w:val="006670B7"/>
    <w:rsid w:val="00670A3C"/>
    <w:rsid w:val="00683F64"/>
    <w:rsid w:val="00691DA2"/>
    <w:rsid w:val="006B66A4"/>
    <w:rsid w:val="006D2102"/>
    <w:rsid w:val="006E7140"/>
    <w:rsid w:val="006E7815"/>
    <w:rsid w:val="00715170"/>
    <w:rsid w:val="00716B42"/>
    <w:rsid w:val="00720CBB"/>
    <w:rsid w:val="007342AE"/>
    <w:rsid w:val="0075572F"/>
    <w:rsid w:val="007A0A66"/>
    <w:rsid w:val="007A5E21"/>
    <w:rsid w:val="007B25A9"/>
    <w:rsid w:val="007C0B59"/>
    <w:rsid w:val="007C3B8F"/>
    <w:rsid w:val="007D06EA"/>
    <w:rsid w:val="007E77A4"/>
    <w:rsid w:val="00806974"/>
    <w:rsid w:val="00821634"/>
    <w:rsid w:val="00823169"/>
    <w:rsid w:val="008429F3"/>
    <w:rsid w:val="00845771"/>
    <w:rsid w:val="008612C3"/>
    <w:rsid w:val="00872778"/>
    <w:rsid w:val="00873CB9"/>
    <w:rsid w:val="008807C9"/>
    <w:rsid w:val="00883EAA"/>
    <w:rsid w:val="00891385"/>
    <w:rsid w:val="00893C66"/>
    <w:rsid w:val="008A683B"/>
    <w:rsid w:val="008E5955"/>
    <w:rsid w:val="00930DB8"/>
    <w:rsid w:val="009326C3"/>
    <w:rsid w:val="009403D8"/>
    <w:rsid w:val="009679A7"/>
    <w:rsid w:val="009752F2"/>
    <w:rsid w:val="009B7441"/>
    <w:rsid w:val="009D23D6"/>
    <w:rsid w:val="009F2662"/>
    <w:rsid w:val="00A15740"/>
    <w:rsid w:val="00A165F5"/>
    <w:rsid w:val="00A40442"/>
    <w:rsid w:val="00A4287C"/>
    <w:rsid w:val="00A467D5"/>
    <w:rsid w:val="00AC3894"/>
    <w:rsid w:val="00AC3C3B"/>
    <w:rsid w:val="00AE0944"/>
    <w:rsid w:val="00AE174C"/>
    <w:rsid w:val="00AF7330"/>
    <w:rsid w:val="00B07848"/>
    <w:rsid w:val="00B629CF"/>
    <w:rsid w:val="00B91EE4"/>
    <w:rsid w:val="00BB7B01"/>
    <w:rsid w:val="00BC1FF3"/>
    <w:rsid w:val="00BC2954"/>
    <w:rsid w:val="00BD0ED6"/>
    <w:rsid w:val="00BD18F7"/>
    <w:rsid w:val="00BE09F6"/>
    <w:rsid w:val="00BE337E"/>
    <w:rsid w:val="00BF58F9"/>
    <w:rsid w:val="00BF7C9F"/>
    <w:rsid w:val="00C06280"/>
    <w:rsid w:val="00C07E82"/>
    <w:rsid w:val="00C11995"/>
    <w:rsid w:val="00C17BEA"/>
    <w:rsid w:val="00C21D3C"/>
    <w:rsid w:val="00C426B1"/>
    <w:rsid w:val="00C4645C"/>
    <w:rsid w:val="00C57BEA"/>
    <w:rsid w:val="00C61598"/>
    <w:rsid w:val="00C74993"/>
    <w:rsid w:val="00C85A9B"/>
    <w:rsid w:val="00C8609C"/>
    <w:rsid w:val="00C957FA"/>
    <w:rsid w:val="00CA5144"/>
    <w:rsid w:val="00CB01BF"/>
    <w:rsid w:val="00CB4524"/>
    <w:rsid w:val="00CD3C23"/>
    <w:rsid w:val="00CD70E7"/>
    <w:rsid w:val="00CE18E3"/>
    <w:rsid w:val="00CE67A3"/>
    <w:rsid w:val="00D01A98"/>
    <w:rsid w:val="00D1058F"/>
    <w:rsid w:val="00D2282D"/>
    <w:rsid w:val="00D362E5"/>
    <w:rsid w:val="00D41648"/>
    <w:rsid w:val="00D4417A"/>
    <w:rsid w:val="00D61AF5"/>
    <w:rsid w:val="00D77F78"/>
    <w:rsid w:val="00D83DAA"/>
    <w:rsid w:val="00D8612E"/>
    <w:rsid w:val="00D93CE5"/>
    <w:rsid w:val="00DA2C8B"/>
    <w:rsid w:val="00DB3C5E"/>
    <w:rsid w:val="00DB7CB8"/>
    <w:rsid w:val="00DE152D"/>
    <w:rsid w:val="00DE7442"/>
    <w:rsid w:val="00DF366C"/>
    <w:rsid w:val="00DF57C1"/>
    <w:rsid w:val="00E01B7C"/>
    <w:rsid w:val="00E059A5"/>
    <w:rsid w:val="00E104C3"/>
    <w:rsid w:val="00E26F1B"/>
    <w:rsid w:val="00E2756A"/>
    <w:rsid w:val="00E3002C"/>
    <w:rsid w:val="00E311D4"/>
    <w:rsid w:val="00E478DE"/>
    <w:rsid w:val="00E539BF"/>
    <w:rsid w:val="00E74940"/>
    <w:rsid w:val="00EA0A6F"/>
    <w:rsid w:val="00EB36FE"/>
    <w:rsid w:val="00ED0D18"/>
    <w:rsid w:val="00ED4071"/>
    <w:rsid w:val="00ED540D"/>
    <w:rsid w:val="00EE1DB1"/>
    <w:rsid w:val="00F01359"/>
    <w:rsid w:val="00F05D5B"/>
    <w:rsid w:val="00F21041"/>
    <w:rsid w:val="00F4312B"/>
    <w:rsid w:val="00F56183"/>
    <w:rsid w:val="00FA1A5E"/>
    <w:rsid w:val="00FA1DAB"/>
    <w:rsid w:val="00FB09BF"/>
    <w:rsid w:val="00FC2886"/>
    <w:rsid w:val="00FD7825"/>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26FD"/>
  <w15:docId w15:val="{76AF5F53-EA22-4E5F-B28F-89E5D50F0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65626D"/>
    <w:pPr>
      <w:bidi/>
      <w:jc w:val="both"/>
    </w:pPr>
    <w:rPr>
      <w:rFonts w:cs="FrankRuehl"/>
      <w:sz w:val="22"/>
      <w:szCs w:val="28"/>
    </w:rPr>
  </w:style>
  <w:style w:type="paragraph" w:styleId="2">
    <w:name w:val="heading 2"/>
    <w:basedOn w:val="a2"/>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2"/>
    <w:next w:val="a2"/>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50">
    <w:name w:val="כותרת 5 תו"/>
    <w:basedOn w:val="a3"/>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6">
    <w:name w:val="footnote text"/>
    <w:basedOn w:val="a2"/>
    <w:link w:val="a7"/>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7">
    <w:name w:val="טקסט הערת שוליים תו"/>
    <w:basedOn w:val="a3"/>
    <w:link w:val="a6"/>
    <w:uiPriority w:val="99"/>
    <w:semiHidden/>
    <w:rsid w:val="00E2756A"/>
    <w:rPr>
      <w:rFonts w:eastAsia="Times New Roman" w:cs="FrankRuehl"/>
      <w:sz w:val="18"/>
      <w:szCs w:val="24"/>
      <w:lang w:eastAsia="he-IL"/>
    </w:rPr>
  </w:style>
  <w:style w:type="paragraph" w:styleId="a8">
    <w:name w:val="List Paragraph"/>
    <w:basedOn w:val="a2"/>
    <w:uiPriority w:val="34"/>
    <w:qFormat/>
    <w:rsid w:val="00E2756A"/>
    <w:pPr>
      <w:spacing w:line="276" w:lineRule="auto"/>
      <w:ind w:left="720"/>
      <w:contextualSpacing/>
    </w:pPr>
  </w:style>
  <w:style w:type="paragraph" w:styleId="a9">
    <w:name w:val="Quote"/>
    <w:basedOn w:val="a2"/>
    <w:link w:val="aa"/>
    <w:uiPriority w:val="29"/>
    <w:qFormat/>
    <w:rsid w:val="00E2756A"/>
    <w:pPr>
      <w:snapToGrid w:val="0"/>
      <w:spacing w:after="120"/>
      <w:ind w:left="851" w:right="851"/>
    </w:pPr>
    <w:rPr>
      <w:rFonts w:eastAsia="Calibri"/>
      <w:i/>
      <w:color w:val="000000" w:themeColor="text1"/>
      <w:kern w:val="28"/>
    </w:rPr>
  </w:style>
  <w:style w:type="character" w:customStyle="1" w:styleId="aa">
    <w:name w:val="ציטוט תו"/>
    <w:basedOn w:val="a3"/>
    <w:link w:val="a9"/>
    <w:uiPriority w:val="29"/>
    <w:rsid w:val="00E2756A"/>
    <w:rPr>
      <w:rFonts w:eastAsia="Calibri" w:cs="FrankRuehl"/>
      <w:i/>
      <w:color w:val="000000" w:themeColor="text1"/>
      <w:kern w:val="28"/>
      <w:sz w:val="22"/>
      <w:szCs w:val="28"/>
    </w:rPr>
  </w:style>
  <w:style w:type="paragraph" w:customStyle="1" w:styleId="ab">
    <w:name w:val="פרטי תיק פס''ד"/>
    <w:basedOn w:val="a2"/>
    <w:qFormat/>
    <w:rsid w:val="00E2756A"/>
    <w:pPr>
      <w:spacing w:line="360" w:lineRule="auto"/>
    </w:pPr>
    <w:rPr>
      <w:rFonts w:cs="David"/>
      <w:b/>
      <w:bCs/>
      <w:sz w:val="24"/>
      <w:szCs w:val="24"/>
    </w:rPr>
  </w:style>
  <w:style w:type="character" w:customStyle="1" w:styleId="ac">
    <w:name w:val="פסקת פתיחה תו"/>
    <w:link w:val="ad"/>
    <w:locked/>
    <w:rsid w:val="00DA2C8B"/>
    <w:rPr>
      <w:rFonts w:eastAsia="Times New Roman" w:cs="FrankRuehl"/>
      <w:sz w:val="28"/>
      <w:szCs w:val="28"/>
      <w:lang w:eastAsia="he-IL"/>
    </w:rPr>
  </w:style>
  <w:style w:type="paragraph" w:customStyle="1" w:styleId="ae">
    <w:name w:val="פסקה רגילה"/>
    <w:basedOn w:val="a2"/>
    <w:link w:val="af"/>
    <w:qFormat/>
    <w:rsid w:val="00E2756A"/>
    <w:pPr>
      <w:snapToGrid w:val="0"/>
      <w:spacing w:after="120" w:line="276" w:lineRule="auto"/>
      <w:ind w:firstLine="397"/>
    </w:pPr>
    <w:rPr>
      <w:rFonts w:eastAsia="Calibri"/>
      <w:kern w:val="28"/>
    </w:rPr>
  </w:style>
  <w:style w:type="paragraph" w:customStyle="1" w:styleId="ad">
    <w:name w:val="פסקת פתיחה"/>
    <w:basedOn w:val="a2"/>
    <w:next w:val="ae"/>
    <w:link w:val="ac"/>
    <w:qFormat/>
    <w:rsid w:val="00DA2C8B"/>
    <w:pPr>
      <w:spacing w:before="120" w:after="120" w:line="276" w:lineRule="auto"/>
    </w:pPr>
    <w:rPr>
      <w:rFonts w:eastAsia="Times New Roman"/>
      <w:sz w:val="28"/>
      <w:lang w:eastAsia="he-IL"/>
    </w:rPr>
  </w:style>
  <w:style w:type="paragraph" w:customStyle="1" w:styleId="af0">
    <w:name w:val="כותרת אזור בית הדין הרבני"/>
    <w:basedOn w:val="a2"/>
    <w:qFormat/>
    <w:rsid w:val="00C17BEA"/>
    <w:pPr>
      <w:spacing w:before="120" w:after="240" w:line="360" w:lineRule="auto"/>
    </w:pPr>
    <w:rPr>
      <w:rFonts w:asciiTheme="minorBidi" w:eastAsia="Calibri" w:hAnsiTheme="minorBidi" w:cs="David"/>
      <w:b/>
      <w:bCs/>
      <w:color w:val="002B82"/>
      <w:sz w:val="28"/>
    </w:rPr>
  </w:style>
  <w:style w:type="character" w:customStyle="1" w:styleId="af">
    <w:name w:val="פסקה רגילה תו"/>
    <w:basedOn w:val="a3"/>
    <w:link w:val="ae"/>
    <w:locked/>
    <w:rsid w:val="00E2756A"/>
    <w:rPr>
      <w:rFonts w:eastAsia="Calibri" w:cs="FrankRuehl"/>
      <w:kern w:val="28"/>
      <w:sz w:val="22"/>
      <w:szCs w:val="28"/>
    </w:rPr>
  </w:style>
  <w:style w:type="character" w:customStyle="1" w:styleId="af1">
    <w:name w:val="ציטוט בתוך ציטוט תו"/>
    <w:basedOn w:val="a3"/>
    <w:link w:val="af2"/>
    <w:locked/>
    <w:rsid w:val="00DA2C8B"/>
    <w:rPr>
      <w:rFonts w:ascii="Calibri" w:eastAsia="Calibri" w:hAnsi="Calibri" w:cs="FrankRuehl"/>
      <w:i/>
      <w:color w:val="000000" w:themeColor="text1"/>
      <w:kern w:val="28"/>
      <w:sz w:val="28"/>
      <w:szCs w:val="28"/>
    </w:rPr>
  </w:style>
  <w:style w:type="paragraph" w:customStyle="1" w:styleId="af2">
    <w:name w:val="ציטוט בתוך ציטוט"/>
    <w:basedOn w:val="a9"/>
    <w:link w:val="af1"/>
    <w:qFormat/>
    <w:rsid w:val="00DA2C8B"/>
    <w:pPr>
      <w:ind w:left="1418"/>
    </w:pPr>
    <w:rPr>
      <w:rFonts w:ascii="Calibri" w:hAnsi="Calibri"/>
      <w:sz w:val="28"/>
    </w:rPr>
  </w:style>
  <w:style w:type="character" w:customStyle="1" w:styleId="af3">
    <w:name w:val="כותרת המאמר תו"/>
    <w:basedOn w:val="a3"/>
    <w:link w:val="af4"/>
    <w:locked/>
    <w:rsid w:val="00E2756A"/>
    <w:rPr>
      <w:rFonts w:eastAsia="Times New Roman" w:cs="Narkisim"/>
      <w:b/>
      <w:bCs/>
      <w:sz w:val="32"/>
      <w:szCs w:val="32"/>
      <w:lang w:eastAsia="he-IL"/>
    </w:rPr>
  </w:style>
  <w:style w:type="paragraph" w:customStyle="1" w:styleId="af5">
    <w:name w:val="כותרת שם כותב המאמר"/>
    <w:basedOn w:val="a2"/>
    <w:next w:val="af6"/>
    <w:link w:val="af7"/>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4">
    <w:name w:val="כותרת המאמר"/>
    <w:basedOn w:val="a2"/>
    <w:next w:val="af5"/>
    <w:link w:val="af3"/>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7">
    <w:name w:val="כותרת שם כותב המאמר תו"/>
    <w:basedOn w:val="a3"/>
    <w:link w:val="af5"/>
    <w:locked/>
    <w:rsid w:val="00E2756A"/>
    <w:rPr>
      <w:rFonts w:eastAsia="Times New Roman" w:cs="Narkisim"/>
      <w:b/>
      <w:bCs/>
      <w:sz w:val="24"/>
      <w:szCs w:val="28"/>
      <w:lang w:eastAsia="he-IL"/>
    </w:rPr>
  </w:style>
  <w:style w:type="paragraph" w:customStyle="1" w:styleId="af6">
    <w:name w:val="כותרת תפקיד כותב המאמר"/>
    <w:basedOn w:val="af5"/>
    <w:next w:val="ad"/>
    <w:link w:val="af8"/>
    <w:qFormat/>
    <w:rsid w:val="00E2756A"/>
    <w:pPr>
      <w:tabs>
        <w:tab w:val="clear" w:pos="284"/>
        <w:tab w:val="clear" w:pos="567"/>
      </w:tabs>
      <w:spacing w:before="240" w:after="600" w:line="276" w:lineRule="auto"/>
      <w:outlineLvl w:val="5"/>
    </w:pPr>
    <w:rPr>
      <w:sz w:val="26"/>
      <w:szCs w:val="26"/>
    </w:rPr>
  </w:style>
  <w:style w:type="character" w:customStyle="1" w:styleId="af8">
    <w:name w:val="כותרת תפקיד כותב המאמר תו"/>
    <w:basedOn w:val="af7"/>
    <w:link w:val="af6"/>
    <w:locked/>
    <w:rsid w:val="00E2756A"/>
    <w:rPr>
      <w:rFonts w:eastAsia="Times New Roman" w:cs="Narkisim"/>
      <w:b/>
      <w:bCs/>
      <w:sz w:val="26"/>
      <w:szCs w:val="26"/>
      <w:lang w:eastAsia="he-IL"/>
    </w:rPr>
  </w:style>
  <w:style w:type="character" w:customStyle="1" w:styleId="af9">
    <w:name w:val="פסק דין תו"/>
    <w:basedOn w:val="a3"/>
    <w:link w:val="afa"/>
    <w:locked/>
    <w:rsid w:val="003D0A52"/>
    <w:rPr>
      <w:rFonts w:ascii="Arial" w:eastAsia="Calibri" w:hAnsi="Arial" w:cs="FrankRuehl"/>
      <w:bCs/>
      <w:spacing w:val="20"/>
      <w:kern w:val="28"/>
      <w:sz w:val="24"/>
      <w:szCs w:val="32"/>
    </w:rPr>
  </w:style>
  <w:style w:type="paragraph" w:customStyle="1" w:styleId="afa">
    <w:name w:val="פסק דין"/>
    <w:basedOn w:val="a2"/>
    <w:next w:val="ad"/>
    <w:link w:val="af9"/>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3">
    <w:name w:val="רשימה א(1)(א) מדורגת תו"/>
    <w:basedOn w:val="a3"/>
    <w:link w:val="1"/>
    <w:locked/>
    <w:rsid w:val="0051147D"/>
    <w:rPr>
      <w:rFonts w:ascii="David" w:eastAsia="Calibri" w:hAnsi="David" w:cs="FrankRuehl"/>
      <w:kern w:val="28"/>
      <w:sz w:val="36"/>
      <w:szCs w:val="28"/>
    </w:rPr>
  </w:style>
  <w:style w:type="paragraph" w:customStyle="1" w:styleId="1">
    <w:name w:val="רשימה א(1)(א) מדורגת"/>
    <w:basedOn w:val="ae"/>
    <w:link w:val="13"/>
    <w:qFormat/>
    <w:rsid w:val="005452D2"/>
    <w:pPr>
      <w:numPr>
        <w:numId w:val="1"/>
      </w:numPr>
      <w:spacing w:before="120"/>
    </w:pPr>
    <w:rPr>
      <w:rFonts w:ascii="David" w:hAnsi="David"/>
      <w:sz w:val="36"/>
    </w:rPr>
  </w:style>
  <w:style w:type="paragraph" w:customStyle="1" w:styleId="a0">
    <w:name w:val="כותרת משנה אמצע ממוספרת"/>
    <w:basedOn w:val="a2"/>
    <w:next w:val="ad"/>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3"/>
    <w:link w:val="11"/>
    <w:locked/>
    <w:rsid w:val="0051147D"/>
    <w:rPr>
      <w:rFonts w:ascii="David" w:eastAsia="Calibri" w:hAnsi="David" w:cs="FrankRuehl"/>
      <w:kern w:val="28"/>
      <w:sz w:val="28"/>
      <w:szCs w:val="28"/>
      <w:lang w:eastAsia="he-IL"/>
    </w:rPr>
  </w:style>
  <w:style w:type="paragraph" w:customStyle="1" w:styleId="11">
    <w:name w:val="רשימה 1(א)(1) מדורגת"/>
    <w:basedOn w:val="ae"/>
    <w:link w:val="110"/>
    <w:qFormat/>
    <w:rsid w:val="00CE18E3"/>
    <w:pPr>
      <w:numPr>
        <w:numId w:val="3"/>
      </w:numPr>
      <w:spacing w:before="120"/>
    </w:pPr>
    <w:rPr>
      <w:rFonts w:ascii="David" w:hAnsi="David"/>
      <w:sz w:val="28"/>
      <w:lang w:eastAsia="he-IL"/>
    </w:rPr>
  </w:style>
  <w:style w:type="character" w:customStyle="1" w:styleId="afb">
    <w:name w:val="כותרת [א.] צד תו"/>
    <w:basedOn w:val="a3"/>
    <w:link w:val="afc"/>
    <w:locked/>
    <w:rsid w:val="008A683B"/>
    <w:rPr>
      <w:rFonts w:ascii="Arial" w:eastAsia="Times New Roman" w:hAnsi="Arial" w:cs="Narkisim"/>
      <w:b/>
      <w:bCs/>
      <w:sz w:val="24"/>
      <w:szCs w:val="24"/>
    </w:rPr>
  </w:style>
  <w:style w:type="paragraph" w:customStyle="1" w:styleId="afc">
    <w:name w:val="כותרת [א.] צד"/>
    <w:basedOn w:val="10"/>
    <w:next w:val="ad"/>
    <w:link w:val="afb"/>
    <w:qFormat/>
    <w:rsid w:val="008A683B"/>
  </w:style>
  <w:style w:type="character" w:customStyle="1" w:styleId="-">
    <w:name w:val="כותרת [-] צד תו"/>
    <w:basedOn w:val="a3"/>
    <w:link w:val="-0"/>
    <w:locked/>
    <w:rsid w:val="00387082"/>
    <w:rPr>
      <w:rFonts w:ascii="Arial" w:eastAsia="Times New Roman" w:hAnsi="Arial" w:cs="Narkisim"/>
      <w:b/>
      <w:bCs/>
      <w:sz w:val="24"/>
      <w:szCs w:val="24"/>
    </w:rPr>
  </w:style>
  <w:style w:type="paragraph" w:customStyle="1" w:styleId="-0">
    <w:name w:val="כותרת [-] צד"/>
    <w:next w:val="a2"/>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4">
    <w:name w:val="כותרת [(1)] צד תו"/>
    <w:basedOn w:val="a3"/>
    <w:link w:val="12"/>
    <w:locked/>
    <w:rsid w:val="008A683B"/>
    <w:rPr>
      <w:rFonts w:ascii="Arial" w:eastAsia="Times New Roman" w:hAnsi="Arial" w:cs="Narkisim"/>
      <w:b/>
      <w:bCs/>
      <w:sz w:val="22"/>
      <w:szCs w:val="22"/>
    </w:rPr>
  </w:style>
  <w:style w:type="paragraph" w:customStyle="1" w:styleId="12">
    <w:name w:val="כותרת [(1)] צד"/>
    <w:basedOn w:val="10"/>
    <w:next w:val="ad"/>
    <w:link w:val="14"/>
    <w:qFormat/>
    <w:rsid w:val="008A683B"/>
    <w:pPr>
      <w:numPr>
        <w:ilvl w:val="2"/>
      </w:numPr>
      <w:spacing w:before="240"/>
      <w:outlineLvl w:val="4"/>
    </w:pPr>
    <w:rPr>
      <w:sz w:val="22"/>
      <w:szCs w:val="22"/>
    </w:rPr>
  </w:style>
  <w:style w:type="character" w:customStyle="1" w:styleId="afd">
    <w:name w:val="כותרת [(א)] צד תו"/>
    <w:basedOn w:val="14"/>
    <w:link w:val="a1"/>
    <w:locked/>
    <w:rsid w:val="008A683B"/>
    <w:rPr>
      <w:rFonts w:ascii="Arial" w:eastAsia="Times New Roman" w:hAnsi="Arial" w:cs="Narkisim"/>
      <w:b w:val="0"/>
      <w:bCs w:val="0"/>
      <w:i/>
      <w:iCs/>
      <w:sz w:val="22"/>
      <w:szCs w:val="22"/>
    </w:rPr>
  </w:style>
  <w:style w:type="paragraph" w:customStyle="1" w:styleId="a1">
    <w:name w:val="כותרת [(א)] צד"/>
    <w:basedOn w:val="12"/>
    <w:next w:val="ad"/>
    <w:link w:val="afd"/>
    <w:qFormat/>
    <w:rsid w:val="008A683B"/>
    <w:pPr>
      <w:numPr>
        <w:ilvl w:val="3"/>
        <w:numId w:val="4"/>
      </w:numPr>
      <w:outlineLvl w:val="5"/>
    </w:pPr>
    <w:rPr>
      <w:b w:val="0"/>
      <w:bCs w:val="0"/>
      <w:i/>
      <w:iCs/>
    </w:rPr>
  </w:style>
  <w:style w:type="character" w:styleId="afe">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
    <w:name w:val="Book Title"/>
    <w:basedOn w:val="a3"/>
    <w:uiPriority w:val="33"/>
    <w:qFormat/>
    <w:rsid w:val="00E2756A"/>
    <w:rPr>
      <w:b/>
      <w:bCs/>
      <w:smallCaps/>
      <w:spacing w:val="5"/>
    </w:rPr>
  </w:style>
  <w:style w:type="paragraph" w:customStyle="1" w:styleId="aff0">
    <w:name w:val="שמות הדיינים"/>
    <w:basedOn w:val="a2"/>
    <w:next w:val="a2"/>
    <w:link w:val="aff1"/>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1">
    <w:name w:val="שמות הדיינים תו"/>
    <w:basedOn w:val="a3"/>
    <w:link w:val="aff0"/>
    <w:rsid w:val="00D77F78"/>
    <w:rPr>
      <w:rFonts w:eastAsia="Calibri" w:cs="Narkisim"/>
      <w:b/>
      <w:bCs/>
      <w:kern w:val="28"/>
      <w:sz w:val="23"/>
      <w:szCs w:val="23"/>
    </w:rPr>
  </w:style>
  <w:style w:type="paragraph" w:styleId="aff2">
    <w:name w:val="header"/>
    <w:basedOn w:val="a2"/>
    <w:link w:val="aff3"/>
    <w:uiPriority w:val="99"/>
    <w:unhideWhenUsed/>
    <w:rsid w:val="00FA1DAB"/>
    <w:pPr>
      <w:tabs>
        <w:tab w:val="center" w:pos="4153"/>
        <w:tab w:val="right" w:pos="8306"/>
      </w:tabs>
    </w:pPr>
  </w:style>
  <w:style w:type="character" w:customStyle="1" w:styleId="aff3">
    <w:name w:val="כותרת עליונה תו"/>
    <w:basedOn w:val="a3"/>
    <w:link w:val="aff2"/>
    <w:uiPriority w:val="99"/>
    <w:rsid w:val="00FA1DAB"/>
    <w:rPr>
      <w:rFonts w:cs="FrankRuehl"/>
      <w:sz w:val="22"/>
      <w:szCs w:val="28"/>
    </w:rPr>
  </w:style>
  <w:style w:type="paragraph" w:styleId="aff4">
    <w:name w:val="footer"/>
    <w:basedOn w:val="a2"/>
    <w:link w:val="aff5"/>
    <w:uiPriority w:val="99"/>
    <w:unhideWhenUsed/>
    <w:rsid w:val="00FA1DAB"/>
    <w:pPr>
      <w:tabs>
        <w:tab w:val="center" w:pos="4153"/>
        <w:tab w:val="right" w:pos="8306"/>
      </w:tabs>
    </w:pPr>
  </w:style>
  <w:style w:type="character" w:customStyle="1" w:styleId="aff5">
    <w:name w:val="כותרת תחתונה תו"/>
    <w:basedOn w:val="a3"/>
    <w:link w:val="aff4"/>
    <w:uiPriority w:val="99"/>
    <w:rsid w:val="00FA1DAB"/>
    <w:rPr>
      <w:rFonts w:cs="FrankRuehl"/>
      <w:sz w:val="22"/>
      <w:szCs w:val="28"/>
    </w:rPr>
  </w:style>
  <w:style w:type="paragraph" w:customStyle="1" w:styleId="aff6">
    <w:name w:val="רשימה רגילה"/>
    <w:basedOn w:val="1"/>
    <w:next w:val="ae"/>
    <w:link w:val="aff7"/>
    <w:qFormat/>
    <w:rsid w:val="009D23D6"/>
    <w:pPr>
      <w:ind w:left="0" w:firstLine="0"/>
    </w:pPr>
  </w:style>
  <w:style w:type="character" w:customStyle="1" w:styleId="aff7">
    <w:name w:val="רשימה רגילה תו"/>
    <w:basedOn w:val="13"/>
    <w:link w:val="aff6"/>
    <w:rsid w:val="009D23D6"/>
    <w:rPr>
      <w:rFonts w:ascii="David" w:eastAsia="Calibri" w:hAnsi="David" w:cs="FrankRuehl"/>
      <w:kern w:val="28"/>
      <w:sz w:val="36"/>
      <w:szCs w:val="28"/>
    </w:rPr>
  </w:style>
  <w:style w:type="paragraph" w:customStyle="1" w:styleId="10">
    <w:name w:val="כותרת [א.] צד1"/>
    <w:basedOn w:val="a2"/>
    <w:next w:val="ad"/>
    <w:link w:val="15"/>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5">
    <w:name w:val="כותרת [א.] צד תו1"/>
    <w:basedOn w:val="a3"/>
    <w:link w:val="10"/>
    <w:rsid w:val="008A683B"/>
    <w:rPr>
      <w:rFonts w:ascii="Arial" w:eastAsia="Times New Roman" w:hAnsi="Arial" w:cs="Narkisim"/>
      <w:b/>
      <w:bCs/>
      <w:sz w:val="24"/>
      <w:szCs w:val="24"/>
    </w:rPr>
  </w:style>
  <w:style w:type="paragraph" w:customStyle="1" w:styleId="aff8">
    <w:name w:val="מספר תיק"/>
    <w:basedOn w:val="a2"/>
    <w:link w:val="aff9"/>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9">
    <w:name w:val="מספר תיק תו"/>
    <w:basedOn w:val="a3"/>
    <w:link w:val="aff8"/>
    <w:rsid w:val="003D0A52"/>
    <w:rPr>
      <w:rFonts w:eastAsia="Times New Roman" w:cs="FrankRuehl"/>
      <w:sz w:val="24"/>
      <w:szCs w:val="32"/>
      <w:lang w:eastAsia="he-IL"/>
    </w:rPr>
  </w:style>
  <w:style w:type="paragraph" w:customStyle="1" w:styleId="affa">
    <w:name w:val="פלוני"/>
    <w:basedOn w:val="a2"/>
    <w:link w:val="affb"/>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b">
    <w:name w:val="פלוני תו"/>
    <w:basedOn w:val="a3"/>
    <w:link w:val="affa"/>
    <w:rsid w:val="003D0A52"/>
    <w:rPr>
      <w:rFonts w:eastAsia="Times New Roman" w:cs="FrankRuehl"/>
      <w:sz w:val="26"/>
      <w:szCs w:val="32"/>
      <w:lang w:eastAsia="he-IL"/>
    </w:rPr>
  </w:style>
  <w:style w:type="paragraph" w:customStyle="1" w:styleId="affc">
    <w:name w:val="כותרת הנידון ומסקנות"/>
    <w:basedOn w:val="a2"/>
    <w:next w:val="affd"/>
    <w:link w:val="affe"/>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d">
    <w:name w:val="תקציר פתיחה"/>
    <w:basedOn w:val="a2"/>
    <w:next w:val="a2"/>
    <w:link w:val="afff"/>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
    <w:name w:val="תקציר פתיחה תו"/>
    <w:basedOn w:val="a3"/>
    <w:link w:val="affd"/>
    <w:rsid w:val="0065626D"/>
    <w:rPr>
      <w:rFonts w:eastAsia="Times New Roman" w:cs="FrankRuehl"/>
      <w:szCs w:val="24"/>
      <w:lang w:eastAsia="he-IL"/>
    </w:rPr>
  </w:style>
  <w:style w:type="character" w:customStyle="1" w:styleId="affe">
    <w:name w:val="כותרת הנידון ומסקנות תו"/>
    <w:basedOn w:val="a3"/>
    <w:link w:val="affc"/>
    <w:rsid w:val="003D0A52"/>
    <w:rPr>
      <w:rFonts w:ascii="Cambria" w:eastAsia="Times New Roman" w:hAnsi="Cambria" w:cs="Narkisim"/>
      <w:b/>
      <w:noProof/>
      <w:sz w:val="26"/>
      <w:szCs w:val="26"/>
      <w:lang w:eastAsia="he-IL"/>
    </w:rPr>
  </w:style>
  <w:style w:type="paragraph" w:customStyle="1" w:styleId="afff0">
    <w:name w:val="מסקנות [א.] תוכן"/>
    <w:basedOn w:val="a2"/>
    <w:link w:val="afff1"/>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1">
    <w:name w:val="מסקנות [א.] תוכן תו"/>
    <w:basedOn w:val="a3"/>
    <w:link w:val="afff0"/>
    <w:rsid w:val="0065626D"/>
    <w:rPr>
      <w:rFonts w:eastAsia="Times New Roman" w:cs="FrankRuehl"/>
      <w:szCs w:val="24"/>
      <w:lang w:eastAsia="he-IL"/>
    </w:rPr>
  </w:style>
  <w:style w:type="paragraph" w:customStyle="1" w:styleId="afff2">
    <w:name w:val="בבית הדין הרבני"/>
    <w:basedOn w:val="a2"/>
    <w:next w:val="afff3"/>
    <w:link w:val="afff4"/>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3">
    <w:name w:val="לפני כבוד הדיינים"/>
    <w:basedOn w:val="a2"/>
    <w:next w:val="aff0"/>
    <w:link w:val="afff5"/>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5">
    <w:name w:val="לפני כבוד הדיינים תו"/>
    <w:basedOn w:val="a3"/>
    <w:link w:val="afff3"/>
    <w:rsid w:val="0065626D"/>
    <w:rPr>
      <w:rFonts w:eastAsia="Times New Roman" w:cs="FrankRuehl"/>
      <w:sz w:val="22"/>
      <w:szCs w:val="26"/>
      <w:lang w:eastAsia="he-IL"/>
    </w:rPr>
  </w:style>
  <w:style w:type="character" w:customStyle="1" w:styleId="afff4">
    <w:name w:val="בבית הדין הרבני תו"/>
    <w:basedOn w:val="a3"/>
    <w:link w:val="afff2"/>
    <w:rsid w:val="003D0A52"/>
    <w:rPr>
      <w:rFonts w:eastAsia="Times New Roman" w:cs="FrankRuehl"/>
      <w:b/>
      <w:bCs/>
      <w:sz w:val="24"/>
      <w:szCs w:val="28"/>
      <w:lang w:eastAsia="he-IL"/>
    </w:rPr>
  </w:style>
  <w:style w:type="paragraph" w:customStyle="1" w:styleId="16">
    <w:name w:val="מסקנות [א.(1)] תוכן"/>
    <w:basedOn w:val="a2"/>
    <w:link w:val="17"/>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7">
    <w:name w:val="מסקנות [א.(1)] תוכן תו"/>
    <w:basedOn w:val="a3"/>
    <w:link w:val="16"/>
    <w:rsid w:val="0065626D"/>
    <w:rPr>
      <w:rFonts w:eastAsia="Times New Roman" w:cs="FrankRuehl"/>
      <w:sz w:val="24"/>
      <w:szCs w:val="24"/>
      <w:lang w:eastAsia="he-IL"/>
    </w:rPr>
  </w:style>
  <w:style w:type="paragraph" w:customStyle="1" w:styleId="a">
    <w:name w:val="כללי [א.] ממוספר"/>
    <w:basedOn w:val="a2"/>
    <w:qFormat/>
    <w:rsid w:val="0065626D"/>
    <w:pPr>
      <w:numPr>
        <w:numId w:val="5"/>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6">
    <w:name w:val="ראשי פרקים"/>
    <w:basedOn w:val="affd"/>
    <w:link w:val="afff7"/>
    <w:qFormat/>
    <w:rsid w:val="0065626D"/>
    <w:pPr>
      <w:tabs>
        <w:tab w:val="center" w:pos="3289"/>
      </w:tabs>
      <w:spacing w:before="240" w:after="240" w:line="360" w:lineRule="auto"/>
    </w:pPr>
    <w:rPr>
      <w:rFonts w:cs="Narkisim"/>
      <w:szCs w:val="22"/>
    </w:rPr>
  </w:style>
  <w:style w:type="character" w:customStyle="1" w:styleId="afff7">
    <w:name w:val="ראשי פרקים תו"/>
    <w:basedOn w:val="afff"/>
    <w:link w:val="afff6"/>
    <w:rsid w:val="0065626D"/>
    <w:rPr>
      <w:rFonts w:eastAsia="Times New Roman" w:cs="Narkisim"/>
      <w:szCs w:val="22"/>
      <w:lang w:eastAsia="he-IL"/>
    </w:rPr>
  </w:style>
  <w:style w:type="character" w:customStyle="1" w:styleId="20">
    <w:name w:val="כותרת 2 תו"/>
    <w:basedOn w:val="a3"/>
    <w:link w:val="2"/>
    <w:uiPriority w:val="9"/>
    <w:rsid w:val="001F3BB4"/>
    <w:rPr>
      <w:rFonts w:eastAsia="Times New Roman" w:cs="Times New Roman"/>
      <w:b/>
      <w:bCs/>
      <w:sz w:val="50"/>
      <w:szCs w:val="50"/>
    </w:rPr>
  </w:style>
  <w:style w:type="paragraph" w:styleId="afff8">
    <w:name w:val="Balloon Text"/>
    <w:basedOn w:val="a2"/>
    <w:link w:val="afff9"/>
    <w:uiPriority w:val="99"/>
    <w:semiHidden/>
    <w:unhideWhenUsed/>
    <w:rsid w:val="001F3BB4"/>
    <w:pPr>
      <w:jc w:val="left"/>
    </w:pPr>
    <w:rPr>
      <w:rFonts w:ascii="Tahoma" w:hAnsi="Tahoma" w:cs="Tahoma"/>
      <w:sz w:val="16"/>
      <w:szCs w:val="16"/>
    </w:rPr>
  </w:style>
  <w:style w:type="character" w:customStyle="1" w:styleId="afff9">
    <w:name w:val="טקסט בלונים תו"/>
    <w:basedOn w:val="a3"/>
    <w:link w:val="afff8"/>
    <w:uiPriority w:val="99"/>
    <w:semiHidden/>
    <w:rsid w:val="001F3BB4"/>
    <w:rPr>
      <w:rFonts w:ascii="Tahoma" w:hAnsi="Tahoma" w:cs="Tahoma"/>
      <w:sz w:val="16"/>
      <w:szCs w:val="16"/>
    </w:rPr>
  </w:style>
  <w:style w:type="table" w:styleId="afffa">
    <w:name w:val="Table Grid"/>
    <w:basedOn w:val="a4"/>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b">
    <w:name w:val="Placeholder Text"/>
    <w:basedOn w:val="a3"/>
    <w:uiPriority w:val="99"/>
    <w:semiHidden/>
    <w:rsid w:val="001F3BB4"/>
    <w:rPr>
      <w:color w:val="808080"/>
    </w:rPr>
  </w:style>
  <w:style w:type="paragraph" w:styleId="NormalWeb">
    <w:name w:val="Normal (Web)"/>
    <w:basedOn w:val="a2"/>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c">
    <w:name w:val="פרדס"/>
    <w:basedOn w:val="a2"/>
    <w:link w:val="afffd"/>
    <w:qFormat/>
    <w:rsid w:val="001F3BB4"/>
    <w:pPr>
      <w:spacing w:line="360" w:lineRule="auto"/>
    </w:pPr>
    <w:rPr>
      <w:rFonts w:ascii="Calibri" w:eastAsia="Calibri" w:hAnsi="Calibri"/>
      <w:sz w:val="28"/>
    </w:rPr>
  </w:style>
  <w:style w:type="character" w:customStyle="1" w:styleId="afffd">
    <w:name w:val="פרדס תו"/>
    <w:basedOn w:val="a3"/>
    <w:link w:val="afffc"/>
    <w:rsid w:val="001F3BB4"/>
    <w:rPr>
      <w:rFonts w:ascii="Calibri" w:eastAsia="Calibri" w:hAnsi="Calibri" w:cs="FrankRuehl"/>
      <w:sz w:val="28"/>
      <w:szCs w:val="28"/>
    </w:rPr>
  </w:style>
  <w:style w:type="table" w:customStyle="1" w:styleId="TableGrid1">
    <w:name w:val="Table Grid1"/>
    <w:basedOn w:val="a4"/>
    <w:next w:val="afffa"/>
    <w:uiPriority w:val="59"/>
    <w:rsid w:val="004D4898"/>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8">
    <w:name w:val="רשת טבלה1"/>
    <w:basedOn w:val="a4"/>
    <w:next w:val="afffa"/>
    <w:uiPriority w:val="59"/>
    <w:rsid w:val="00D2282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B9F17AB1C84A248BE1ED89AE25D92F"/>
        <w:category>
          <w:name w:val="כללי"/>
          <w:gallery w:val="placeholder"/>
        </w:category>
        <w:types>
          <w:type w:val="bbPlcHdr"/>
        </w:types>
        <w:behaviors>
          <w:behavior w:val="content"/>
        </w:behaviors>
        <w:guid w:val="{2B9B0384-92F2-44EA-AD0F-31456D904D3B}"/>
      </w:docPartPr>
      <w:docPartBody>
        <w:p w:rsidR="004325FF" w:rsidRDefault="004325FF" w:rsidP="004325FF">
          <w:pPr>
            <w:pStyle w:val="43B9F17AB1C84A248BE1ED89AE25D92F"/>
          </w:pPr>
          <w:r w:rsidRPr="00424C58">
            <w:rPr>
              <w:rStyle w:val="a3"/>
            </w:rPr>
            <w:t>Click here to enter text.</w:t>
          </w:r>
        </w:p>
      </w:docPartBody>
    </w:docPart>
    <w:docPart>
      <w:docPartPr>
        <w:name w:val="A5A47F32A4DF49FCBD4C6BFA3FFB7AC8"/>
        <w:category>
          <w:name w:val="כללי"/>
          <w:gallery w:val="placeholder"/>
        </w:category>
        <w:types>
          <w:type w:val="bbPlcHdr"/>
        </w:types>
        <w:behaviors>
          <w:behavior w:val="content"/>
        </w:behaviors>
        <w:guid w:val="{7AE4B54E-0C8F-4431-B2F2-A61C96421C6C}"/>
      </w:docPartPr>
      <w:docPartBody>
        <w:p w:rsidR="004325FF" w:rsidRDefault="004325FF" w:rsidP="004325FF">
          <w:pPr>
            <w:pStyle w:val="A5A47F32A4DF49FCBD4C6BFA3FFB7AC8"/>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01"/>
    <w:rsid w:val="0021118F"/>
    <w:rsid w:val="0031284C"/>
    <w:rsid w:val="003506B0"/>
    <w:rsid w:val="003C4C33"/>
    <w:rsid w:val="004325FF"/>
    <w:rsid w:val="00447EDE"/>
    <w:rsid w:val="005725FD"/>
    <w:rsid w:val="007C3B8F"/>
    <w:rsid w:val="007D06EA"/>
    <w:rsid w:val="009326C3"/>
    <w:rsid w:val="009752F2"/>
    <w:rsid w:val="00B07848"/>
    <w:rsid w:val="00C31608"/>
    <w:rsid w:val="00C57BEA"/>
    <w:rsid w:val="00CB01BF"/>
    <w:rsid w:val="00DE67B2"/>
    <w:rsid w:val="00E01B7C"/>
    <w:rsid w:val="00EC5201"/>
    <w:rsid w:val="00F05D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25FF"/>
    <w:rPr>
      <w:color w:val="808080"/>
    </w:rPr>
  </w:style>
  <w:style w:type="paragraph" w:customStyle="1" w:styleId="43B9F17AB1C84A248BE1ED89AE25D92F">
    <w:name w:val="43B9F17AB1C84A248BE1ED89AE25D92F"/>
    <w:rsid w:val="004325FF"/>
    <w:pPr>
      <w:bidi/>
    </w:pPr>
  </w:style>
  <w:style w:type="paragraph" w:customStyle="1" w:styleId="A5A47F32A4DF49FCBD4C6BFA3FFB7AC8">
    <w:name w:val="A5A47F32A4DF49FCBD4C6BFA3FFB7AC8"/>
    <w:rsid w:val="004325F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4826</Words>
  <Characters>24133</Characters>
  <Application>Microsoft Office Word</Application>
  <DocSecurity>0</DocSecurity>
  <Lines>201</Lines>
  <Paragraphs>57</Paragraphs>
  <ScaleCrop>false</ScaleCrop>
  <HeadingPairs>
    <vt:vector size="2" baseType="variant">
      <vt:variant>
        <vt:lpstr>שם</vt:lpstr>
      </vt:variant>
      <vt:variant>
        <vt:i4>1</vt:i4>
      </vt:variant>
    </vt:vector>
  </HeadingPairs>
  <TitlesOfParts>
    <vt:vector size="1" baseType="lpstr">
      <vt:lpstr>חלוקת רכוש</vt:lpstr>
    </vt:vector>
  </TitlesOfParts>
  <Company>HP</Company>
  <LinksUpToDate>false</LinksUpToDate>
  <CharactersWithSpaces>28902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חלוקת רכוש</dc:title>
  <dc:creator>הרב אברהם מייזלס - אב"ד, הרב בנימין לסרי, הרב נחמיה נשר</dc:creator>
  <cp:keywords>גט לחומרה, חוק יחסי ממון, נישואים אזרחיים</cp:keywords>
  <cp:lastModifiedBy>יהודה שקדי</cp:lastModifiedBy>
  <cp:revision>2</cp:revision>
  <dcterms:created xsi:type="dcterms:W3CDTF">2026-10-26T07:36:00Z</dcterms:created>
  <dcterms:modified xsi:type="dcterms:W3CDTF">2026-10-26T07:36:00Z</dcterms:modified>
</cp:coreProperties>
</file>